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bCs/>
          <w:sz w:val="32"/>
          <w:szCs w:val="32"/>
        </w:rPr>
        <w:t>202</w:t>
      </w:r>
      <w:r>
        <w:rPr>
          <w:rFonts w:hint="eastAsia" w:ascii="宋体" w:hAnsi="宋体" w:eastAsia="宋体"/>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37"/>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四川铁道职业学院拟对</w:t>
      </w:r>
      <w:r>
        <w:rPr>
          <w:rFonts w:hint="eastAsia" w:ascii="宋体" w:hAnsi="宋体" w:eastAsia="宋体"/>
          <w:color w:val="auto"/>
          <w:sz w:val="24"/>
          <w:szCs w:val="24"/>
        </w:rPr>
        <w:t>标准化考场扩容建设项目</w:t>
      </w:r>
      <w:r>
        <w:rPr>
          <w:rFonts w:ascii="宋体" w:hAnsi="宋体" w:eastAsia="宋体"/>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sz w:val="24"/>
          <w:szCs w:val="24"/>
          <w:u w:val="single"/>
        </w:rPr>
      </w:pPr>
      <w:r>
        <w:rPr>
          <w:rFonts w:hint="eastAsia" w:ascii="宋体" w:hAnsi="宋体" w:eastAsia="宋体"/>
          <w:b/>
          <w:sz w:val="24"/>
          <w:szCs w:val="24"/>
        </w:rPr>
        <w:t>项目名称：</w:t>
      </w:r>
      <w:r>
        <w:rPr>
          <w:rFonts w:hint="eastAsia" w:ascii="宋体" w:hAnsi="宋体" w:eastAsia="宋体"/>
          <w:color w:val="000000" w:themeColor="text1"/>
          <w:sz w:val="24"/>
          <w:szCs w:val="24"/>
          <w14:textFill>
            <w14:solidFill>
              <w14:schemeClr w14:val="tx1"/>
            </w14:solidFill>
          </w14:textFill>
        </w:rPr>
        <w:t>标准化考场扩容建设</w:t>
      </w:r>
      <w:r>
        <w:rPr>
          <w:rFonts w:hint="eastAsia" w:ascii="宋体" w:hAnsi="宋体"/>
          <w:color w:val="000000" w:themeColor="text1"/>
          <w:sz w:val="24"/>
          <w:szCs w:val="24"/>
          <w:lang w:eastAsia="zh-CN"/>
          <w14:textFill>
            <w14:solidFill>
              <w14:schemeClr w14:val="tx1"/>
            </w14:solidFill>
          </w14:textFill>
        </w:rPr>
        <w:t>项目</w:t>
      </w:r>
    </w:p>
    <w:p>
      <w:pPr>
        <w:numPr>
          <w:ilvl w:val="0"/>
          <w:numId w:val="2"/>
        </w:numPr>
        <w:spacing w:line="360" w:lineRule="auto"/>
        <w:ind w:left="0" w:leftChars="0" w:firstLine="482" w:firstLineChars="200"/>
        <w:outlineLvl w:val="1"/>
        <w:rPr>
          <w:rFonts w:hint="eastAsia" w:ascii="宋体" w:hAnsi="宋体" w:eastAsia="宋体"/>
          <w:b/>
          <w:sz w:val="24"/>
          <w:szCs w:val="24"/>
        </w:rPr>
      </w:pPr>
      <w:r>
        <w:rPr>
          <w:rFonts w:hint="eastAsia" w:ascii="宋体" w:hAnsi="宋体" w:eastAsia="宋体"/>
          <w:b/>
          <w:sz w:val="24"/>
          <w:szCs w:val="24"/>
        </w:rPr>
        <w:t>项目编号：</w:t>
      </w:r>
      <w:r>
        <w:rPr>
          <w:rFonts w:hint="eastAsia" w:ascii="宋体" w:hAnsi="宋体"/>
          <w:b/>
          <w:sz w:val="24"/>
          <w:szCs w:val="24"/>
          <w:lang w:val="en-US" w:eastAsia="zh-CN"/>
        </w:rPr>
        <w:t>CTZY-CG-2024002</w:t>
      </w:r>
    </w:p>
    <w:p>
      <w:pPr>
        <w:numPr>
          <w:ilvl w:val="0"/>
          <w:numId w:val="0"/>
        </w:numPr>
        <w:spacing w:line="360" w:lineRule="auto"/>
        <w:ind w:leftChars="200"/>
        <w:outlineLvl w:val="1"/>
        <w:rPr>
          <w:rFonts w:ascii="宋体" w:hAnsi="宋体" w:eastAsia="宋体"/>
          <w:b/>
          <w:bCs/>
          <w:sz w:val="24"/>
          <w:szCs w:val="24"/>
        </w:rPr>
      </w:pPr>
      <w:r>
        <w:rPr>
          <w:rFonts w:hint="eastAsia" w:ascii="宋体" w:hAnsi="宋体" w:eastAsia="宋体"/>
          <w:b/>
          <w:bCs/>
          <w:sz w:val="24"/>
          <w:szCs w:val="24"/>
        </w:rPr>
        <w:t>三、项目简介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本项目共计1个包，拟确定中选人1名。（具体比选详情见第四章）</w:t>
      </w:r>
    </w:p>
    <w:p>
      <w:pPr>
        <w:spacing w:line="360" w:lineRule="auto"/>
        <w:ind w:firstLine="482" w:firstLineChars="200"/>
        <w:outlineLvl w:val="1"/>
        <w:rPr>
          <w:rFonts w:ascii="宋体" w:hAnsi="宋体" w:eastAsia="宋体"/>
          <w:b/>
          <w:bCs/>
          <w:sz w:val="24"/>
          <w:szCs w:val="24"/>
        </w:rPr>
      </w:pPr>
      <w:r>
        <w:rPr>
          <w:rFonts w:hint="eastAsia" w:ascii="宋体" w:hAnsi="宋体" w:eastAsia="宋体"/>
          <w:b/>
          <w:bCs/>
          <w:sz w:val="24"/>
          <w:szCs w:val="24"/>
        </w:rPr>
        <w:t>四、供应商参加本次采购活动应具备下列条件：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(一)具有独立承担民事责任的能力；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(二)具有良好的商业信誉和健全的财务会计制度；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(三)具有履行合同所必需的设备和专业技术能力；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(四)有依法缴纳税收和社会保障资金的良好记录；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(五)参加比选活动前三年内，在经营活动中没有重大违法记录；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(六)法律、行政法规规定的其他条件。</w:t>
      </w:r>
    </w:p>
    <w:p>
      <w:p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rPr>
        <w:t>五</w:t>
      </w:r>
      <w:r>
        <w:rPr>
          <w:rFonts w:ascii="宋体" w:hAnsi="宋体" w:eastAsia="宋体"/>
          <w:b/>
          <w:sz w:val="24"/>
          <w:szCs w:val="24"/>
        </w:rPr>
        <w:t>、</w:t>
      </w:r>
      <w:r>
        <w:rPr>
          <w:rFonts w:hint="eastAsia" w:ascii="宋体" w:hAnsi="宋体" w:eastAsia="宋体"/>
          <w:b/>
          <w:sz w:val="24"/>
          <w:szCs w:val="24"/>
        </w:rPr>
        <w:t>比选</w:t>
      </w:r>
      <w:r>
        <w:rPr>
          <w:rFonts w:ascii="宋体" w:hAnsi="宋体" w:eastAsia="宋体"/>
          <w:b/>
          <w:sz w:val="24"/>
          <w:szCs w:val="24"/>
        </w:rPr>
        <w:t>公告</w:t>
      </w:r>
      <w:r>
        <w:rPr>
          <w:rFonts w:hint="eastAsia" w:ascii="宋体" w:hAnsi="宋体" w:eastAsia="宋体"/>
          <w:b/>
          <w:sz w:val="24"/>
          <w:szCs w:val="24"/>
        </w:rPr>
        <w:t>发布的媒体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本次比选公告在四川铁道职业学院官网（https://www.scrc.org.cn/）发布。</w:t>
      </w:r>
    </w:p>
    <w:p>
      <w:p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rPr>
        <w:t>七</w:t>
      </w:r>
      <w:r>
        <w:rPr>
          <w:rFonts w:ascii="宋体" w:hAnsi="宋体" w:eastAsia="宋体"/>
          <w:b/>
          <w:sz w:val="24"/>
          <w:szCs w:val="24"/>
        </w:rPr>
        <w:t>、</w:t>
      </w:r>
      <w:r>
        <w:rPr>
          <w:rFonts w:hint="eastAsia" w:ascii="宋体" w:hAnsi="宋体" w:eastAsia="宋体"/>
          <w:b/>
          <w:sz w:val="24"/>
          <w:szCs w:val="24"/>
        </w:rPr>
        <w:t>提交比选申请文件截止时间（参加比选的时间）</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2024</w:t>
      </w:r>
      <w:r>
        <w:rPr>
          <w:rFonts w:ascii="宋体" w:hAnsi="宋体" w:eastAsia="宋体"/>
          <w:color w:val="000000" w:themeColor="text1"/>
          <w:sz w:val="24"/>
          <w:szCs w:val="24"/>
          <w14:textFill>
            <w14:solidFill>
              <w14:schemeClr w14:val="tx1"/>
            </w14:solidFill>
          </w14:textFill>
        </w:rPr>
        <w:t>年</w:t>
      </w: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 xml:space="preserve"> 15</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日</w:t>
      </w:r>
      <w:r>
        <w:rPr>
          <w:rFonts w:hint="eastAsia" w:ascii="宋体" w:hAnsi="宋体"/>
          <w:color w:val="000000" w:themeColor="text1"/>
          <w:sz w:val="24"/>
          <w:szCs w:val="24"/>
          <w:lang w:val="en-US" w:eastAsia="zh-CN"/>
          <w14:textFill>
            <w14:solidFill>
              <w14:schemeClr w14:val="tx1"/>
            </w14:solidFill>
          </w14:textFill>
        </w:rPr>
        <w:t>10</w:t>
      </w:r>
      <w:r>
        <w:rPr>
          <w:rFonts w:ascii="宋体" w:hAnsi="宋体" w:eastAsia="宋体"/>
          <w:color w:val="000000" w:themeColor="text1"/>
          <w:sz w:val="24"/>
          <w:szCs w:val="24"/>
          <w14:textFill>
            <w14:solidFill>
              <w14:schemeClr w14:val="tx1"/>
            </w14:solidFill>
          </w14:textFill>
        </w:rPr>
        <w:t>时</w:t>
      </w:r>
      <w:r>
        <w:rPr>
          <w:rFonts w:hint="eastAsia" w:ascii="宋体" w:hAnsi="宋体" w:eastAsia="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val="en-US" w:eastAsia="zh-CN"/>
          <w14:textFill>
            <w14:solidFill>
              <w14:schemeClr w14:val="tx1"/>
            </w14:solidFill>
          </w14:textFill>
        </w:rPr>
        <w:t>00</w:t>
      </w:r>
      <w:r>
        <w:rPr>
          <w:rFonts w:ascii="宋体" w:hAnsi="宋体" w:eastAsia="宋体"/>
          <w:color w:val="000000" w:themeColor="text1"/>
          <w:sz w:val="24"/>
          <w:szCs w:val="24"/>
          <w14:textFill>
            <w14:solidFill>
              <w14:schemeClr w14:val="tx1"/>
            </w14:solidFill>
          </w14:textFill>
        </w:rPr>
        <w:t>分</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北京时间</w:t>
      </w:r>
      <w:r>
        <w:rPr>
          <w:rFonts w:hint="eastAsia" w:ascii="宋体" w:hAnsi="宋体" w:eastAsia="宋体"/>
          <w:color w:val="000000" w:themeColor="text1"/>
          <w:sz w:val="24"/>
          <w:szCs w:val="24"/>
          <w14:textFill>
            <w14:solidFill>
              <w14:schemeClr w14:val="tx1"/>
            </w14:solidFill>
          </w14:textFill>
        </w:rPr>
        <w:t>)</w:t>
      </w:r>
    </w:p>
    <w:p>
      <w:pPr>
        <w:pStyle w:val="8"/>
        <w:spacing w:after="0" w:line="360" w:lineRule="auto"/>
        <w:ind w:firstLine="480" w:firstLineChars="200"/>
        <w:rPr>
          <w:rFonts w:ascii="宋体" w:hAnsi="宋体" w:eastAsia="宋体"/>
          <w:sz w:val="24"/>
          <w:szCs w:val="24"/>
        </w:rPr>
      </w:pPr>
      <w:r>
        <w:rPr>
          <w:rFonts w:hint="eastAsia" w:ascii="宋体" w:hAnsi="宋体" w:eastAsia="宋体"/>
          <w:sz w:val="24"/>
          <w:szCs w:val="24"/>
        </w:rPr>
        <w:t>1.比选申请文件应在参加比选时间前送达比选地点，未</w:t>
      </w:r>
      <w:r>
        <w:rPr>
          <w:rFonts w:hint="eastAsia" w:ascii="宋体" w:hAnsi="宋体"/>
          <w:sz w:val="24"/>
          <w:szCs w:val="24"/>
          <w:lang w:eastAsia="zh-CN"/>
        </w:rPr>
        <w:t>按要求</w:t>
      </w:r>
      <w:r>
        <w:rPr>
          <w:rFonts w:hint="eastAsia" w:ascii="宋体" w:hAnsi="宋体" w:eastAsia="宋体"/>
          <w:sz w:val="24"/>
          <w:szCs w:val="24"/>
        </w:rPr>
        <w:t>送到的文件将被拒收。</w:t>
      </w:r>
    </w:p>
    <w:p>
      <w:pPr>
        <w:pStyle w:val="8"/>
        <w:spacing w:after="0" w:line="360" w:lineRule="auto"/>
        <w:ind w:firstLine="480" w:firstLineChars="200"/>
        <w:rPr>
          <w:rFonts w:ascii="宋体" w:hAnsi="宋体" w:eastAsia="宋体"/>
          <w:sz w:val="24"/>
          <w:szCs w:val="24"/>
        </w:rPr>
      </w:pPr>
      <w:r>
        <w:rPr>
          <w:rFonts w:hint="eastAsia" w:ascii="宋体" w:hAnsi="宋体" w:eastAsia="宋体"/>
          <w:sz w:val="24"/>
          <w:szCs w:val="24"/>
        </w:rPr>
        <w:t>2.逾期送达或没有密封的比选申请文件恕不接收。</w:t>
      </w:r>
    </w:p>
    <w:p>
      <w:pPr>
        <w:pStyle w:val="15"/>
        <w:numPr>
          <w:ilvl w:val="0"/>
          <w:numId w:val="3"/>
        </w:num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rPr>
        <w:t>提交比选申请文件地点和比选地点</w:t>
      </w:r>
    </w:p>
    <w:p>
      <w:pPr>
        <w:pStyle w:val="8"/>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成都郫都区安德街道彭温路</w:t>
      </w:r>
      <w:r>
        <w:rPr>
          <w:rFonts w:ascii="宋体" w:hAnsi="宋体" w:eastAsia="宋体"/>
          <w:color w:val="000000"/>
          <w:sz w:val="24"/>
          <w:szCs w:val="24"/>
        </w:rPr>
        <w:t>399号四川铁道职业学院基建后勤办公区</w:t>
      </w:r>
      <w:r>
        <w:rPr>
          <w:rFonts w:hint="eastAsia" w:ascii="宋体" w:hAnsi="宋体" w:eastAsia="宋体"/>
          <w:color w:val="000000"/>
          <w:sz w:val="24"/>
          <w:szCs w:val="24"/>
        </w:rPr>
        <w:t>2</w:t>
      </w:r>
      <w:r>
        <w:rPr>
          <w:rFonts w:ascii="宋体" w:hAnsi="宋体" w:eastAsia="宋体"/>
          <w:color w:val="000000"/>
          <w:sz w:val="24"/>
          <w:szCs w:val="24"/>
        </w:rPr>
        <w:t>14室(</w:t>
      </w:r>
      <w:r>
        <w:rPr>
          <w:rFonts w:hint="eastAsia" w:ascii="宋体" w:hAnsi="宋体" w:eastAsia="宋体"/>
          <w:color w:val="000000"/>
          <w:sz w:val="24"/>
          <w:szCs w:val="24"/>
        </w:rPr>
        <w:t>评标室)</w:t>
      </w:r>
    </w:p>
    <w:p>
      <w:pPr>
        <w:spacing w:line="360" w:lineRule="auto"/>
        <w:ind w:firstLine="482" w:firstLineChars="200"/>
        <w:outlineLvl w:val="1"/>
        <w:rPr>
          <w:rFonts w:ascii="宋体" w:hAnsi="宋体" w:eastAsia="宋体"/>
          <w:b/>
          <w:sz w:val="24"/>
          <w:szCs w:val="24"/>
        </w:rPr>
      </w:pPr>
      <w:r>
        <w:rPr>
          <w:rFonts w:hint="eastAsia" w:ascii="宋体" w:hAnsi="宋体" w:eastAsia="宋体"/>
          <w:b/>
          <w:sz w:val="24"/>
          <w:szCs w:val="24"/>
        </w:rPr>
        <w:t>十</w:t>
      </w:r>
      <w:r>
        <w:rPr>
          <w:rFonts w:ascii="宋体" w:hAnsi="宋体" w:eastAsia="宋体"/>
          <w:b/>
          <w:sz w:val="24"/>
          <w:szCs w:val="24"/>
        </w:rPr>
        <w:t>、联系方式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比 选 人：四川铁道职业学院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地 </w:t>
      </w:r>
      <w:r>
        <w:rPr>
          <w:rFonts w:ascii="宋体" w:hAnsi="宋体" w:eastAsia="宋体"/>
          <w:sz w:val="24"/>
          <w:szCs w:val="24"/>
        </w:rPr>
        <w:t xml:space="preserve">   </w:t>
      </w:r>
      <w:r>
        <w:rPr>
          <w:rFonts w:hint="eastAsia" w:ascii="宋体" w:hAnsi="宋体" w:eastAsia="宋体"/>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联 系 人：贺老师、</w:t>
      </w:r>
      <w:r>
        <w:rPr>
          <w:rFonts w:hint="eastAsia" w:ascii="宋体" w:hAnsi="宋体"/>
          <w:sz w:val="24"/>
          <w:szCs w:val="24"/>
          <w:lang w:eastAsia="zh-CN"/>
        </w:rPr>
        <w:t>杨</w:t>
      </w:r>
      <w:r>
        <w:rPr>
          <w:rFonts w:hint="eastAsia" w:ascii="宋体" w:hAnsi="宋体" w:eastAsia="宋体"/>
          <w:sz w:val="24"/>
          <w:szCs w:val="24"/>
        </w:rPr>
        <w:t>老师</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rPr>
        <w:t>联系电话：028-68939875、6893</w:t>
      </w:r>
      <w:r>
        <w:rPr>
          <w:rFonts w:hint="eastAsia" w:ascii="宋体" w:hAnsi="宋体"/>
          <w:sz w:val="24"/>
          <w:szCs w:val="24"/>
          <w:lang w:val="en-US" w:eastAsia="zh-CN"/>
        </w:rPr>
        <w:t>9887</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b/>
          <w:sz w:val="28"/>
          <w:szCs w:val="28"/>
        </w:rPr>
      </w:pPr>
      <w:r>
        <w:rPr>
          <w:rFonts w:hint="eastAsia" w:ascii="宋体" w:hAnsi="宋体" w:eastAsia="宋体"/>
          <w:b/>
          <w:sz w:val="28"/>
          <w:szCs w:val="28"/>
        </w:rPr>
        <w:t>一、申请人</w:t>
      </w:r>
      <w:r>
        <w:rPr>
          <w:rFonts w:ascii="宋体" w:hAnsi="宋体" w:eastAsia="宋体"/>
          <w:b/>
          <w:sz w:val="28"/>
          <w:szCs w:val="28"/>
        </w:rPr>
        <w:t>须知附表</w:t>
      </w:r>
    </w:p>
    <w:tbl>
      <w:tblPr>
        <w:tblStyle w:val="19"/>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jc w:val="center"/>
        </w:trPr>
        <w:tc>
          <w:tcPr>
            <w:tcW w:w="524" w:type="dxa"/>
            <w:noWrap w:val="0"/>
            <w:vAlign w:val="center"/>
          </w:tcPr>
          <w:p>
            <w:pPr>
              <w:spacing w:line="360" w:lineRule="auto"/>
              <w:jc w:val="center"/>
              <w:rPr>
                <w:rFonts w:ascii="宋体" w:hAnsi="宋体" w:eastAsia="宋体" w:cs="仿宋"/>
                <w:b/>
                <w:bCs/>
                <w:color w:val="000000"/>
                <w:sz w:val="22"/>
              </w:rPr>
            </w:pPr>
            <w:r>
              <w:rPr>
                <w:rFonts w:hint="eastAsia" w:ascii="宋体" w:hAnsi="宋体" w:eastAsia="宋体" w:cs="仿宋"/>
                <w:b/>
                <w:bCs/>
                <w:color w:val="000000"/>
                <w:sz w:val="22"/>
              </w:rPr>
              <w:t>序号</w:t>
            </w:r>
          </w:p>
        </w:tc>
        <w:tc>
          <w:tcPr>
            <w:tcW w:w="2210" w:type="dxa"/>
            <w:noWrap w:val="0"/>
            <w:vAlign w:val="center"/>
          </w:tcPr>
          <w:p>
            <w:pPr>
              <w:spacing w:line="360" w:lineRule="auto"/>
              <w:jc w:val="center"/>
              <w:rPr>
                <w:rFonts w:ascii="宋体" w:hAnsi="宋体" w:eastAsia="宋体" w:cs="仿宋"/>
                <w:b/>
                <w:bCs/>
                <w:color w:val="000000"/>
                <w:sz w:val="22"/>
              </w:rPr>
            </w:pPr>
            <w:r>
              <w:rPr>
                <w:rFonts w:hint="eastAsia" w:ascii="宋体" w:hAnsi="宋体" w:eastAsia="宋体" w:cs="仿宋"/>
                <w:b/>
                <w:bCs/>
                <w:color w:val="000000"/>
                <w:sz w:val="22"/>
              </w:rPr>
              <w:t>应知事项</w:t>
            </w:r>
          </w:p>
        </w:tc>
        <w:tc>
          <w:tcPr>
            <w:tcW w:w="6197" w:type="dxa"/>
            <w:noWrap w:val="0"/>
            <w:vAlign w:val="center"/>
          </w:tcPr>
          <w:p>
            <w:pPr>
              <w:spacing w:line="360" w:lineRule="auto"/>
              <w:jc w:val="center"/>
              <w:rPr>
                <w:rFonts w:ascii="宋体" w:hAnsi="宋体" w:eastAsia="宋体" w:cs="仿宋"/>
                <w:b/>
                <w:bCs/>
                <w:color w:val="000000"/>
                <w:sz w:val="22"/>
              </w:rPr>
            </w:pPr>
            <w:r>
              <w:rPr>
                <w:rFonts w:hint="eastAsia" w:ascii="宋体" w:hAnsi="宋体" w:eastAsia="宋体" w:cs="仿宋"/>
                <w:b/>
                <w:bCs/>
                <w:color w:val="000000"/>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spacing w:line="360" w:lineRule="exact"/>
              <w:jc w:val="center"/>
              <w:rPr>
                <w:rFonts w:ascii="宋体" w:hAnsi="宋体" w:eastAsia="宋体"/>
                <w:kern w:val="0"/>
                <w:sz w:val="22"/>
                <w:lang w:val="zh-CN"/>
              </w:rPr>
            </w:pPr>
            <w:r>
              <w:rPr>
                <w:rFonts w:hint="eastAsia" w:ascii="宋体" w:hAnsi="宋体" w:eastAsia="宋体"/>
                <w:kern w:val="0"/>
                <w:sz w:val="22"/>
                <w:lang w:val="zh-CN"/>
              </w:rPr>
              <w:t>比选预算</w:t>
            </w:r>
          </w:p>
          <w:p>
            <w:pPr>
              <w:spacing w:line="360" w:lineRule="exact"/>
              <w:jc w:val="center"/>
              <w:rPr>
                <w:rFonts w:ascii="宋体" w:hAnsi="宋体" w:eastAsia="宋体"/>
                <w:kern w:val="0"/>
                <w:sz w:val="22"/>
                <w:lang w:val="zh-CN"/>
              </w:rPr>
            </w:pPr>
            <w:r>
              <w:rPr>
                <w:rFonts w:hint="eastAsia" w:ascii="宋体" w:hAnsi="宋体" w:eastAsia="宋体"/>
                <w:b/>
                <w:bCs/>
                <w:kern w:val="0"/>
                <w:sz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人民币</w:t>
            </w:r>
            <w:r>
              <w:rPr>
                <w:rFonts w:hint="eastAsia" w:cs="Times New Roman"/>
                <w:b/>
                <w:bCs w:val="0"/>
                <w:color w:val="000000" w:themeColor="text1"/>
                <w:kern w:val="2"/>
                <w:sz w:val="21"/>
                <w:szCs w:val="21"/>
                <w14:textFill>
                  <w14:solidFill>
                    <w14:schemeClr w14:val="tx1"/>
                  </w14:solidFill>
                </w14:textFill>
              </w:rPr>
              <w:t>192280</w:t>
            </w:r>
            <w:r>
              <w:rPr>
                <w:rFonts w:hint="eastAsia" w:cs="Times New Roman"/>
                <w:bCs/>
                <w:color w:val="000000"/>
                <w:kern w:val="2"/>
                <w:sz w:val="21"/>
                <w:szCs w:val="21"/>
                <w:lang w:val="zh-CN"/>
              </w:rPr>
              <w:t>元</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spacing w:line="360" w:lineRule="exact"/>
              <w:jc w:val="center"/>
              <w:rPr>
                <w:rFonts w:ascii="宋体" w:hAnsi="宋体" w:eastAsia="宋体"/>
                <w:kern w:val="0"/>
                <w:sz w:val="22"/>
                <w:lang w:val="zh-CN"/>
              </w:rPr>
            </w:pPr>
            <w:r>
              <w:rPr>
                <w:rFonts w:hint="eastAsia" w:ascii="宋体" w:hAnsi="宋体" w:eastAsia="宋体"/>
                <w:kern w:val="0"/>
                <w:sz w:val="22"/>
                <w:lang w:val="zh-CN"/>
              </w:rPr>
              <w:t>最高限价</w:t>
            </w:r>
          </w:p>
          <w:p>
            <w:pPr>
              <w:spacing w:line="360" w:lineRule="exact"/>
              <w:jc w:val="center"/>
              <w:rPr>
                <w:rFonts w:ascii="宋体" w:hAnsi="宋体" w:eastAsia="宋体"/>
                <w:kern w:val="0"/>
                <w:sz w:val="22"/>
                <w:lang w:val="zh-CN"/>
              </w:rPr>
            </w:pPr>
            <w:r>
              <w:rPr>
                <w:rFonts w:hint="eastAsia" w:ascii="宋体" w:hAnsi="宋体" w:eastAsia="宋体"/>
                <w:b/>
                <w:bCs/>
                <w:kern w:val="0"/>
                <w:sz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人民币</w:t>
            </w:r>
            <w:r>
              <w:rPr>
                <w:rFonts w:hint="eastAsia" w:cs="Times New Roman"/>
                <w:b/>
                <w:bCs w:val="0"/>
                <w:color w:val="000000" w:themeColor="text1"/>
                <w:kern w:val="2"/>
                <w:sz w:val="21"/>
                <w:szCs w:val="21"/>
                <w14:textFill>
                  <w14:solidFill>
                    <w14:schemeClr w14:val="tx1"/>
                  </w14:solidFill>
                </w14:textFill>
              </w:rPr>
              <w:t>192280</w:t>
            </w:r>
            <w:r>
              <w:rPr>
                <w:rFonts w:hint="eastAsia" w:cs="Times New Roman"/>
                <w:bCs/>
                <w:color w:val="000000"/>
                <w:kern w:val="2"/>
                <w:sz w:val="21"/>
                <w:szCs w:val="21"/>
                <w:lang w:val="zh-CN"/>
              </w:rPr>
              <w:t>元</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超过最高限价的报价，其比选</w:t>
            </w:r>
            <w:bookmarkStart w:id="5" w:name="_Hlk136353364"/>
            <w:r>
              <w:rPr>
                <w:rFonts w:hint="eastAsia" w:cs="Times New Roman"/>
                <w:bCs/>
                <w:color w:val="000000"/>
                <w:kern w:val="2"/>
                <w:sz w:val="21"/>
                <w:szCs w:val="21"/>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cs="Times New Roman"/>
                <w:sz w:val="22"/>
                <w:szCs w:val="22"/>
                <w:lang w:val="zh-CN"/>
              </w:rPr>
              <w:t>不正当竞争预防措施</w:t>
            </w:r>
          </w:p>
          <w:p>
            <w:pPr>
              <w:pStyle w:val="41"/>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仿宋"/>
                <w:color w:val="000000"/>
                <w:sz w:val="21"/>
                <w:szCs w:val="21"/>
                <w:highlight w:val="green"/>
              </w:rPr>
            </w:pPr>
            <w:r>
              <w:rPr>
                <w:rFonts w:hint="eastAsia" w:cs="Times New Roman"/>
                <w:bCs/>
                <w:color w:val="000000"/>
                <w:kern w:val="2"/>
                <w:sz w:val="21"/>
                <w:szCs w:val="21"/>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rPr>
            </w:pPr>
            <w:r>
              <w:rPr>
                <w:rFonts w:hint="eastAsia" w:cs="Times New Roman"/>
                <w:sz w:val="22"/>
                <w:szCs w:val="22"/>
              </w:rPr>
              <w:t>信用记录查询</w:t>
            </w:r>
          </w:p>
          <w:p>
            <w:pPr>
              <w:pStyle w:val="41"/>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（1）比选人通过</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信用中国（</w:t>
            </w:r>
            <w:r>
              <w:fldChar w:fldCharType="begin"/>
            </w:r>
            <w:r>
              <w:instrText xml:space="preserve"> HYPERLINK "http://www.creditchina.gov.cn）、中国政府采购网（www.ccgp.gov.cn）" </w:instrText>
            </w:r>
            <w:r>
              <w:fldChar w:fldCharType="separate"/>
            </w:r>
            <w:r>
              <w:rPr>
                <w:rFonts w:hint="eastAsia" w:cs="Times New Roman"/>
                <w:bCs/>
                <w:color w:val="000000"/>
                <w:kern w:val="2"/>
                <w:sz w:val="21"/>
                <w:szCs w:val="21"/>
                <w:lang w:val="zh-CN"/>
              </w:rPr>
              <w:t>www.creditchina.gov.cn）和中国政府采购网（www.ccgp.gov.cn）</w:t>
            </w:r>
            <w:r>
              <w:rPr>
                <w:rFonts w:hint="eastAsia" w:cs="Times New Roman"/>
                <w:bCs/>
                <w:color w:val="000000"/>
                <w:kern w:val="2"/>
                <w:sz w:val="21"/>
                <w:szCs w:val="21"/>
                <w:lang w:val="zh-CN"/>
              </w:rPr>
              <w:fldChar w:fldCharType="end"/>
            </w:r>
            <w:r>
              <w:rPr>
                <w:rFonts w:hint="eastAsia" w:cs="Times New Roman"/>
                <w:bCs/>
                <w:color w:val="000000"/>
                <w:kern w:val="2"/>
                <w:sz w:val="21"/>
                <w:szCs w:val="21"/>
                <w:lang w:val="zh-CN"/>
              </w:rPr>
              <w:t>进行信用记录查询；</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（2）查询时间：本项目资格审查时；</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（3）查询记录和证据留存的具体方式：与比选文件一并保存；</w:t>
            </w:r>
          </w:p>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合同分包</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联合体</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spacing w:line="360" w:lineRule="exact"/>
              <w:ind w:left="105" w:leftChars="50" w:right="105" w:rightChars="50"/>
              <w:jc w:val="center"/>
              <w:rPr>
                <w:rFonts w:ascii="宋体" w:hAnsi="宋体" w:eastAsia="宋体"/>
                <w:kern w:val="0"/>
                <w:sz w:val="22"/>
                <w:lang w:val="zh-CN"/>
              </w:rPr>
            </w:pPr>
            <w:r>
              <w:rPr>
                <w:rFonts w:hint="eastAsia" w:ascii="宋体" w:hAnsi="宋体" w:eastAsia="宋体"/>
                <w:kern w:val="0"/>
                <w:sz w:val="22"/>
              </w:rPr>
              <w:t>比选结果</w:t>
            </w:r>
            <w:r>
              <w:rPr>
                <w:rFonts w:hint="eastAsia" w:ascii="宋体" w:hAnsi="宋体" w:eastAsia="宋体"/>
                <w:kern w:val="0"/>
                <w:sz w:val="22"/>
                <w:lang w:val="zh-CN"/>
              </w:rPr>
              <w:t>公告</w:t>
            </w:r>
          </w:p>
        </w:tc>
        <w:tc>
          <w:tcPr>
            <w:tcW w:w="6197" w:type="dxa"/>
            <w:noWrap w:val="0"/>
            <w:vAlign w:val="center"/>
          </w:tcPr>
          <w:p>
            <w:pPr>
              <w:pStyle w:val="41"/>
              <w:spacing w:line="360" w:lineRule="auto"/>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noWrap w:val="0"/>
            <w:vAlign w:val="center"/>
          </w:tcPr>
          <w:p>
            <w:pPr>
              <w:pStyle w:val="40"/>
              <w:numPr>
                <w:ilvl w:val="0"/>
                <w:numId w:val="4"/>
              </w:numPr>
              <w:tabs>
                <w:tab w:val="left" w:pos="220"/>
                <w:tab w:val="clear" w:pos="0"/>
              </w:tabs>
              <w:adjustRightInd w:val="0"/>
              <w:snapToGrid w:val="0"/>
              <w:jc w:val="both"/>
              <w:rPr>
                <w:rFonts w:cs="仿宋"/>
                <w:szCs w:val="21"/>
              </w:rPr>
            </w:pPr>
          </w:p>
        </w:tc>
        <w:tc>
          <w:tcPr>
            <w:tcW w:w="2210" w:type="dxa"/>
            <w:noWrap w:val="0"/>
            <w:vAlign w:val="center"/>
          </w:tcPr>
          <w:p>
            <w:pPr>
              <w:spacing w:line="360" w:lineRule="exact"/>
              <w:jc w:val="center"/>
              <w:rPr>
                <w:rFonts w:ascii="宋体" w:hAnsi="宋体" w:eastAsia="宋体"/>
                <w:b/>
                <w:bCs/>
                <w:kern w:val="0"/>
                <w:sz w:val="22"/>
                <w:lang w:val="zh-CN"/>
              </w:rPr>
            </w:pPr>
            <w:r>
              <w:rPr>
                <w:rFonts w:hint="eastAsia" w:ascii="宋体" w:hAnsi="宋体" w:eastAsia="宋体"/>
                <w:kern w:val="0"/>
                <w:sz w:val="22"/>
                <w:lang w:val="zh-CN"/>
              </w:rPr>
              <w:t>说明</w:t>
            </w:r>
          </w:p>
        </w:tc>
        <w:tc>
          <w:tcPr>
            <w:tcW w:w="6197" w:type="dxa"/>
            <w:noWrap w:val="0"/>
            <w:vAlign w:val="center"/>
          </w:tcPr>
          <w:p>
            <w:pPr>
              <w:pStyle w:val="41"/>
              <w:spacing w:line="360" w:lineRule="exact"/>
              <w:ind w:left="210" w:leftChars="100"/>
              <w:jc w:val="both"/>
              <w:rPr>
                <w:rFonts w:cs="Times New Roman"/>
                <w:bCs/>
                <w:color w:val="000000"/>
                <w:kern w:val="2"/>
                <w:sz w:val="21"/>
                <w:szCs w:val="21"/>
                <w:lang w:val="zh-CN"/>
              </w:rPr>
            </w:pPr>
            <w:r>
              <w:rPr>
                <w:rFonts w:hint="eastAsia" w:cs="Times New Roman"/>
                <w:bCs/>
                <w:color w:val="000000"/>
                <w:kern w:val="2"/>
                <w:sz w:val="21"/>
                <w:szCs w:val="21"/>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b/>
          <w:sz w:val="28"/>
          <w:szCs w:val="28"/>
        </w:rPr>
      </w:pPr>
      <w:r>
        <w:rPr>
          <w:rFonts w:hint="eastAsia" w:ascii="宋体" w:hAnsi="宋体" w:eastAsia="宋体"/>
          <w:b/>
          <w:sz w:val="28"/>
          <w:szCs w:val="28"/>
        </w:rPr>
        <w:t>二、总则</w:t>
      </w:r>
    </w:p>
    <w:p>
      <w:pPr>
        <w:spacing w:line="360" w:lineRule="auto"/>
        <w:ind w:firstLine="482" w:firstLineChars="200"/>
        <w:outlineLvl w:val="2"/>
        <w:rPr>
          <w:rFonts w:ascii="宋体" w:hAnsi="宋体" w:eastAsia="宋体"/>
          <w:b/>
          <w:sz w:val="24"/>
          <w:szCs w:val="24"/>
        </w:rPr>
      </w:pPr>
      <w:r>
        <w:rPr>
          <w:rFonts w:ascii="宋体" w:hAnsi="宋体" w:eastAsia="宋体"/>
          <w:b/>
          <w:sz w:val="24"/>
          <w:szCs w:val="24"/>
        </w:rPr>
        <w:t>（一）适用范围</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b/>
          <w:sz w:val="24"/>
          <w:szCs w:val="24"/>
        </w:rPr>
      </w:pPr>
      <w:bookmarkStart w:id="6" w:name="_Toc217446035"/>
      <w:r>
        <w:rPr>
          <w:rFonts w:hint="eastAsia" w:ascii="宋体" w:hAnsi="宋体" w:eastAsia="宋体"/>
          <w:b/>
          <w:sz w:val="24"/>
          <w:szCs w:val="24"/>
        </w:rPr>
        <w:t>（二）</w:t>
      </w:r>
      <w:bookmarkEnd w:id="6"/>
      <w:r>
        <w:rPr>
          <w:rFonts w:hint="eastAsia" w:ascii="宋体" w:hAnsi="宋体" w:eastAsia="宋体"/>
          <w:b/>
          <w:sz w:val="24"/>
          <w:szCs w:val="24"/>
        </w:rPr>
        <w:t>比选主体</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1.“比选人”系指四川铁道职业学院。</w:t>
      </w:r>
    </w:p>
    <w:p>
      <w:pPr>
        <w:spacing w:line="360" w:lineRule="auto"/>
        <w:ind w:firstLine="480" w:firstLineChars="200"/>
        <w:rPr>
          <w:rFonts w:ascii="宋体" w:hAnsi="宋体" w:eastAsia="宋体"/>
          <w:bCs/>
          <w:sz w:val="24"/>
          <w:szCs w:val="24"/>
        </w:rPr>
      </w:pPr>
      <w:r>
        <w:rPr>
          <w:rFonts w:hint="eastAsia" w:ascii="宋体" w:hAnsi="宋体" w:eastAsia="宋体"/>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b/>
          <w:sz w:val="24"/>
          <w:szCs w:val="24"/>
        </w:rPr>
        <w:t>（</w:t>
      </w:r>
      <w:r>
        <w:rPr>
          <w:rFonts w:hint="eastAsia" w:ascii="宋体" w:hAnsi="宋体" w:eastAsia="宋体"/>
          <w:b/>
          <w:sz w:val="24"/>
          <w:szCs w:val="24"/>
        </w:rPr>
        <w:t>三</w:t>
      </w:r>
      <w:r>
        <w:rPr>
          <w:rFonts w:ascii="宋体" w:hAnsi="宋体" w:eastAsia="宋体"/>
          <w:b/>
          <w:sz w:val="24"/>
          <w:szCs w:val="24"/>
        </w:rPr>
        <w:t>）</w:t>
      </w:r>
      <w:r>
        <w:rPr>
          <w:rFonts w:hint="eastAsia" w:ascii="宋体" w:hAnsi="宋体" w:eastAsia="宋体"/>
          <w:b/>
          <w:sz w:val="24"/>
          <w:szCs w:val="24"/>
        </w:rPr>
        <w:t>有关定义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1.比选文件所称的“以上”、“以下”、“以内”、“届满”，包括本数；所称的“不满”、“超过”、“以外”，不包括本数。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sz w:val="24"/>
        </w:rPr>
      </w:pPr>
      <w:r>
        <w:rPr>
          <w:rFonts w:hint="eastAsia" w:ascii="宋体" w:hAnsi="宋体" w:eastAsia="宋体"/>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四</w:t>
      </w:r>
      <w:r>
        <w:rPr>
          <w:rFonts w:ascii="宋体" w:hAnsi="宋体" w:eastAsia="宋体"/>
          <w:b/>
          <w:sz w:val="24"/>
          <w:szCs w:val="24"/>
        </w:rPr>
        <w:t>）合格的</w:t>
      </w:r>
      <w:r>
        <w:rPr>
          <w:rFonts w:hint="eastAsia" w:ascii="宋体" w:hAnsi="宋体" w:eastAsia="宋体"/>
          <w:b/>
          <w:sz w:val="24"/>
          <w:szCs w:val="24"/>
        </w:rPr>
        <w:t>申请人（实质性要求）</w:t>
      </w:r>
    </w:p>
    <w:p>
      <w:pPr>
        <w:tabs>
          <w:tab w:val="left" w:pos="7665"/>
        </w:tabs>
        <w:spacing w:line="520" w:lineRule="exact"/>
        <w:ind w:firstLine="480" w:firstLineChars="200"/>
        <w:rPr>
          <w:rFonts w:ascii="宋体" w:hAnsi="宋体" w:eastAsia="宋体"/>
          <w:sz w:val="24"/>
        </w:rPr>
      </w:pPr>
      <w:r>
        <w:rPr>
          <w:rFonts w:hint="eastAsia" w:ascii="宋体" w:hAnsi="宋体" w:eastAsia="宋体"/>
          <w:sz w:val="24"/>
        </w:rPr>
        <w:t>1.具备“比选邀请”基本条件；</w:t>
      </w:r>
    </w:p>
    <w:p>
      <w:pPr>
        <w:tabs>
          <w:tab w:val="left" w:pos="7665"/>
        </w:tabs>
        <w:spacing w:line="520" w:lineRule="exact"/>
        <w:ind w:firstLine="480" w:firstLineChars="200"/>
        <w:rPr>
          <w:rFonts w:ascii="宋体" w:hAnsi="宋体" w:eastAsia="宋体"/>
          <w:sz w:val="24"/>
        </w:rPr>
      </w:pPr>
      <w:r>
        <w:rPr>
          <w:rFonts w:hint="eastAsia" w:ascii="宋体" w:hAnsi="宋体" w:eastAsia="宋体"/>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sz w:val="24"/>
        </w:rPr>
        <w:t>3.比选文件和法律、行政法规规定的其他条件。</w:t>
      </w:r>
    </w:p>
    <w:p>
      <w:pPr>
        <w:spacing w:line="360" w:lineRule="auto"/>
        <w:ind w:firstLine="482" w:firstLineChars="200"/>
        <w:outlineLvl w:val="2"/>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w:t>
      </w:r>
      <w:r>
        <w:rPr>
          <w:rFonts w:ascii="宋体" w:hAnsi="宋体" w:eastAsia="宋体"/>
          <w:b/>
          <w:sz w:val="24"/>
          <w:szCs w:val="24"/>
        </w:rPr>
        <w:t>）参与</w:t>
      </w:r>
      <w:r>
        <w:rPr>
          <w:rFonts w:hint="eastAsia" w:ascii="宋体" w:hAnsi="宋体" w:eastAsia="宋体"/>
          <w:b/>
          <w:sz w:val="24"/>
          <w:szCs w:val="24"/>
        </w:rPr>
        <w:t>比选</w:t>
      </w:r>
      <w:r>
        <w:rPr>
          <w:rFonts w:ascii="宋体" w:hAnsi="宋体" w:eastAsia="宋体"/>
          <w:b/>
          <w:sz w:val="24"/>
          <w:szCs w:val="24"/>
        </w:rPr>
        <w:t>的费用</w:t>
      </w:r>
      <w:r>
        <w:rPr>
          <w:rFonts w:hint="eastAsia" w:ascii="宋体" w:hAnsi="宋体" w:eastAsia="宋体"/>
          <w:b/>
          <w:sz w:val="24"/>
          <w:szCs w:val="24"/>
        </w:rPr>
        <w:t>（实质性要求）</w:t>
      </w:r>
    </w:p>
    <w:p>
      <w:pPr>
        <w:spacing w:line="360" w:lineRule="auto"/>
        <w:ind w:firstLine="480" w:firstLineChars="200"/>
        <w:rPr>
          <w:rFonts w:ascii="宋体" w:hAnsi="宋体" w:eastAsia="宋体"/>
        </w:rPr>
      </w:pPr>
      <w:r>
        <w:rPr>
          <w:rFonts w:hint="eastAsia" w:ascii="宋体" w:hAnsi="宋体" w:eastAsia="宋体"/>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sz w:val="24"/>
          <w:szCs w:val="24"/>
        </w:rPr>
        <w:t>1.本项目是否接受联合体响应，以“申请人须知附表”为准。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4.联合体应当确定其中一个单位为比选的全权代表，负责参加比选的一切事务。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b/>
          <w:sz w:val="28"/>
          <w:szCs w:val="28"/>
        </w:rPr>
      </w:pPr>
      <w:r>
        <w:rPr>
          <w:rFonts w:ascii="宋体" w:hAnsi="宋体" w:eastAsia="宋体"/>
          <w:b/>
          <w:sz w:val="28"/>
          <w:szCs w:val="28"/>
        </w:rPr>
        <w:t>三、</w:t>
      </w:r>
      <w:r>
        <w:rPr>
          <w:rFonts w:hint="eastAsia" w:ascii="宋体" w:hAnsi="宋体" w:eastAsia="宋体"/>
          <w:b/>
          <w:sz w:val="28"/>
          <w:szCs w:val="28"/>
        </w:rPr>
        <w:t>比选</w:t>
      </w:r>
      <w:r>
        <w:rPr>
          <w:rFonts w:ascii="宋体" w:hAnsi="宋体" w:eastAsia="宋体"/>
          <w:b/>
          <w:sz w:val="28"/>
          <w:szCs w:val="28"/>
        </w:rPr>
        <w:t>文件</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（一）比选文件的构成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（二）比选文件的澄清</w:t>
      </w:r>
      <w:bookmarkEnd w:id="7"/>
      <w:bookmarkEnd w:id="8"/>
      <w:r>
        <w:rPr>
          <w:rFonts w:hint="eastAsia" w:ascii="宋体" w:hAnsi="宋体" w:eastAsia="宋体"/>
          <w:b/>
          <w:sz w:val="24"/>
          <w:szCs w:val="24"/>
        </w:rPr>
        <w:t>和修改</w:t>
      </w:r>
      <w:bookmarkEnd w:id="9"/>
    </w:p>
    <w:p>
      <w:pPr>
        <w:spacing w:line="360" w:lineRule="auto"/>
        <w:ind w:firstLine="480" w:firstLineChars="200"/>
        <w:rPr>
          <w:rFonts w:ascii="宋体" w:hAnsi="宋体" w:eastAsia="宋体"/>
          <w:sz w:val="24"/>
          <w:szCs w:val="24"/>
        </w:rPr>
      </w:pPr>
      <w:r>
        <w:rPr>
          <w:rFonts w:hint="eastAsia" w:ascii="宋体" w:hAnsi="宋体" w:eastAsia="宋体"/>
          <w:sz w:val="24"/>
          <w:szCs w:val="24"/>
        </w:rPr>
        <w:t>1.在提交比选申请文件截止时间前，比选人可以对比选文件进行澄清或者修改。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2.比选人对已发出的比选文件进行澄清或者修改，比选人将在网上发布更正公告。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b/>
          <w:sz w:val="28"/>
          <w:szCs w:val="28"/>
        </w:rPr>
      </w:pPr>
      <w:r>
        <w:rPr>
          <w:rFonts w:hint="eastAsia" w:ascii="宋体" w:hAnsi="宋体" w:eastAsia="宋体"/>
          <w:b/>
          <w:sz w:val="28"/>
          <w:szCs w:val="28"/>
        </w:rPr>
        <w:t>四、比选申请文件</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（一）比选申请文件的组成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1.申请人应按照比选文件的规定和要求编制比选申请文件。</w:t>
      </w:r>
      <w:r>
        <w:rPr>
          <w:rFonts w:hint="eastAsia" w:ascii="宋体" w:hAnsi="宋体" w:eastAsia="宋体"/>
          <w:b/>
          <w:bCs/>
          <w:sz w:val="24"/>
          <w:szCs w:val="24"/>
        </w:rPr>
        <w:t>（实质性要求）</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（二）比选申请文件的语言（实质性要求）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sz w:val="24"/>
          <w:szCs w:val="24"/>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（三）计量单位</w:t>
      </w:r>
      <w:bookmarkEnd w:id="10"/>
      <w:bookmarkEnd w:id="11"/>
      <w:bookmarkEnd w:id="12"/>
      <w:r>
        <w:rPr>
          <w:rFonts w:hint="eastAsia" w:ascii="宋体" w:hAnsi="宋体" w:eastAsia="宋体"/>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（四）报价（实质性要求）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1.本次比选项目的报价货币为人民币，报价以比选文件规定为准。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（五）比选申请文件有效期（实质性要求）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本项目比选申请文件有效期为提交比选首次比选申请文件截止之日起</w:t>
      </w:r>
      <w:r>
        <w:rPr>
          <w:rFonts w:hint="eastAsia" w:ascii="宋体" w:hAnsi="宋体" w:eastAsia="宋体"/>
          <w:b/>
          <w:bCs/>
          <w:sz w:val="24"/>
          <w:szCs w:val="24"/>
        </w:rPr>
        <w:t>90</w:t>
      </w:r>
      <w:r>
        <w:rPr>
          <w:rFonts w:hint="eastAsia" w:ascii="宋体" w:hAnsi="宋体" w:eastAsia="宋体"/>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（六）知识产权（实质性要求）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（七）比选申请文件格式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1.申请人应执行比选文件第六章的规定要求。</w:t>
      </w:r>
    </w:p>
    <w:p>
      <w:pPr>
        <w:spacing w:line="360" w:lineRule="auto"/>
        <w:ind w:firstLine="480" w:firstLineChars="200"/>
        <w:rPr>
          <w:rFonts w:ascii="宋体" w:hAnsi="宋体" w:eastAsia="宋体"/>
          <w:b/>
          <w:sz w:val="24"/>
          <w:szCs w:val="24"/>
        </w:rPr>
      </w:pPr>
      <w:r>
        <w:rPr>
          <w:rFonts w:hint="eastAsia" w:ascii="宋体" w:hAnsi="宋体" w:eastAsia="宋体"/>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sz w:val="24"/>
          <w:szCs w:val="24"/>
        </w:rPr>
        <w:t>（八）比选申请文件的编制和签署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1.比选申请文件正本1份。</w:t>
      </w:r>
      <w:r>
        <w:rPr>
          <w:rFonts w:hint="eastAsia" w:ascii="宋体" w:hAnsi="宋体" w:eastAsia="宋体"/>
          <w:b/>
          <w:bCs/>
          <w:sz w:val="24"/>
          <w:szCs w:val="32"/>
        </w:rPr>
        <w:t>（实质性要求）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sz w:val="24"/>
          <w:szCs w:val="24"/>
        </w:rPr>
        <w:t>3.比选申请文件应根据比选文件的要求签署、盖章。</w:t>
      </w:r>
      <w:r>
        <w:rPr>
          <w:rFonts w:hint="eastAsia" w:ascii="宋体" w:hAnsi="宋体" w:eastAsia="宋体"/>
          <w:b/>
          <w:bCs/>
          <w:sz w:val="24"/>
          <w:szCs w:val="32"/>
        </w:rPr>
        <w:t>（实质性要求）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4.比选申请文件正本可采用打印或用不褪色、不变质的墨水书写。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b/>
          <w:bCs/>
          <w:sz w:val="24"/>
          <w:szCs w:val="32"/>
        </w:rPr>
        <w:t>（实质性要求）</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（九）比选申请文件的密封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1.比选申请文件所有外层应当密封完好。</w:t>
      </w:r>
      <w:r>
        <w:rPr>
          <w:rFonts w:hint="eastAsia" w:ascii="宋体" w:hAnsi="宋体" w:eastAsia="宋体"/>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sz w:val="24"/>
          <w:szCs w:val="24"/>
        </w:rPr>
        <w:t>2.未密封的比选申请文件，比选人将拒收或者在法定时间允许的范围内，要求修改完善后接收。</w:t>
      </w:r>
      <w:r>
        <w:rPr>
          <w:rFonts w:hint="eastAsia" w:ascii="宋体" w:hAnsi="宋体" w:eastAsia="宋体"/>
          <w:b/>
          <w:sz w:val="24"/>
          <w:szCs w:val="24"/>
        </w:rPr>
        <w:t>（实质性要求）</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（十）比选申请文件的提交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1.比选申请文件应在提交首次比选申请文件截止时间前送达。</w:t>
      </w:r>
      <w:r>
        <w:rPr>
          <w:rFonts w:hint="eastAsia" w:ascii="宋体" w:hAnsi="宋体" w:eastAsia="宋体"/>
          <w:b/>
          <w:sz w:val="24"/>
          <w:szCs w:val="24"/>
        </w:rPr>
        <w:t>（实质性要求）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2.逾期送达或者未密封的比选申请文件，必选人应当拒收。</w:t>
      </w:r>
      <w:r>
        <w:rPr>
          <w:rFonts w:hint="eastAsia" w:ascii="宋体" w:hAnsi="宋体" w:eastAsia="宋体"/>
          <w:b/>
          <w:sz w:val="24"/>
          <w:szCs w:val="24"/>
        </w:rPr>
        <w:t>（实质性要求）</w:t>
      </w:r>
    </w:p>
    <w:p>
      <w:pPr>
        <w:spacing w:line="360" w:lineRule="auto"/>
        <w:ind w:firstLine="482" w:firstLineChars="200"/>
        <w:outlineLvl w:val="2"/>
        <w:rPr>
          <w:rFonts w:ascii="宋体" w:hAnsi="宋体" w:eastAsia="宋体"/>
          <w:b/>
          <w:sz w:val="24"/>
          <w:szCs w:val="24"/>
        </w:rPr>
      </w:pPr>
      <w:bookmarkStart w:id="13" w:name="_Toc183682365"/>
      <w:bookmarkStart w:id="14" w:name="_Toc183582228"/>
      <w:bookmarkStart w:id="15" w:name="_Toc217446055"/>
      <w:r>
        <w:rPr>
          <w:rFonts w:hint="eastAsia" w:ascii="宋体" w:hAnsi="宋体" w:eastAsia="宋体"/>
          <w:b/>
          <w:sz w:val="24"/>
          <w:szCs w:val="24"/>
        </w:rPr>
        <w:t>（十一）比选申请文件的修改和撤回</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b/>
          <w:sz w:val="28"/>
          <w:szCs w:val="28"/>
        </w:rPr>
      </w:pPr>
      <w:r>
        <w:rPr>
          <w:rFonts w:hint="eastAsia" w:ascii="宋体" w:hAnsi="宋体" w:eastAsia="宋体"/>
          <w:b/>
          <w:sz w:val="28"/>
          <w:szCs w:val="28"/>
        </w:rPr>
        <w:t>五、比选会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2.比选会时，比选人对比选申请文件的密封情况进行检查。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3.当众宣布检查比选申请文件的密封情况。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b/>
          <w:sz w:val="28"/>
          <w:szCs w:val="28"/>
        </w:rPr>
      </w:pPr>
      <w:r>
        <w:rPr>
          <w:rFonts w:hint="eastAsia" w:ascii="宋体" w:hAnsi="宋体" w:eastAsia="宋体"/>
          <w:b/>
          <w:sz w:val="28"/>
          <w:szCs w:val="28"/>
        </w:rPr>
        <w:t>六、比选评审</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（一）比选评审</w:t>
      </w:r>
    </w:p>
    <w:p>
      <w:pPr>
        <w:spacing w:line="360" w:lineRule="auto"/>
        <w:ind w:firstLine="480" w:firstLineChars="200"/>
        <w:rPr>
          <w:rFonts w:ascii="宋体" w:hAnsi="宋体" w:eastAsia="宋体"/>
          <w:b/>
          <w:sz w:val="28"/>
          <w:szCs w:val="28"/>
        </w:rPr>
      </w:pPr>
      <w:r>
        <w:rPr>
          <w:rFonts w:hint="eastAsia" w:ascii="宋体" w:hAnsi="宋体" w:eastAsia="宋体"/>
          <w:sz w:val="24"/>
          <w:szCs w:val="24"/>
        </w:rPr>
        <w:t>详见第五章</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（二）成交通知书</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1.成交通知书为签订采购合同的依据之一，是合同的有效组成部分。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b/>
          <w:sz w:val="28"/>
          <w:szCs w:val="28"/>
        </w:rPr>
      </w:pPr>
      <w:r>
        <w:rPr>
          <w:rFonts w:hint="eastAsia" w:ascii="宋体" w:hAnsi="宋体" w:eastAsia="宋体"/>
          <w:b/>
          <w:sz w:val="28"/>
          <w:szCs w:val="28"/>
        </w:rPr>
        <w:t>七、合同事项</w:t>
      </w:r>
    </w:p>
    <w:p>
      <w:pPr>
        <w:spacing w:line="360" w:lineRule="auto"/>
        <w:ind w:firstLine="482" w:firstLineChars="200"/>
        <w:outlineLvl w:val="2"/>
        <w:rPr>
          <w:rFonts w:ascii="宋体" w:hAnsi="宋体" w:eastAsia="宋体"/>
          <w:b/>
          <w:sz w:val="24"/>
          <w:szCs w:val="24"/>
        </w:rPr>
      </w:pPr>
      <w:bookmarkStart w:id="16" w:name="_Toc430773927"/>
      <w:bookmarkStart w:id="17" w:name="_Toc101250646"/>
      <w:bookmarkStart w:id="18" w:name="_Toc101338364"/>
      <w:bookmarkStart w:id="19" w:name="_Toc209847069"/>
      <w:bookmarkStart w:id="20" w:name="_Toc101174151"/>
      <w:r>
        <w:rPr>
          <w:rFonts w:hint="eastAsia" w:ascii="宋体" w:hAnsi="宋体" w:eastAsia="宋体"/>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sz w:val="24"/>
          <w:szCs w:val="24"/>
        </w:rPr>
      </w:pPr>
      <w:r>
        <w:rPr>
          <w:rFonts w:hint="eastAsia" w:ascii="宋体" w:hAnsi="宋体" w:eastAsia="宋体"/>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（二）履行合同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（三）验收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sz w:val="24"/>
          <w:szCs w:val="24"/>
        </w:rPr>
        <w:t>比选人将按照采购合同规定，及时向中选人支付采购资金。本项目采购资金付款详见第四章规定的付款方式。</w:t>
      </w:r>
    </w:p>
    <w:p>
      <w:pPr>
        <w:numPr>
          <w:ilvl w:val="0"/>
          <w:numId w:val="5"/>
        </w:numPr>
        <w:spacing w:line="360" w:lineRule="auto"/>
        <w:ind w:firstLine="281" w:firstLineChars="100"/>
        <w:jc w:val="center"/>
        <w:outlineLvl w:val="1"/>
        <w:rPr>
          <w:rFonts w:ascii="宋体" w:hAnsi="宋体" w:eastAsia="宋体"/>
          <w:b/>
          <w:sz w:val="28"/>
          <w:szCs w:val="28"/>
        </w:rPr>
      </w:pPr>
      <w:r>
        <w:rPr>
          <w:rFonts w:hint="eastAsia" w:ascii="宋体" w:hAnsi="宋体" w:eastAsia="宋体"/>
          <w:b/>
          <w:sz w:val="28"/>
          <w:szCs w:val="28"/>
        </w:rPr>
        <w:t>比选纪律要求（实质性要求）</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（一）申请人纪律要求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b/>
          <w:sz w:val="24"/>
          <w:szCs w:val="24"/>
        </w:rPr>
      </w:pPr>
      <w:r>
        <w:rPr>
          <w:rFonts w:hint="eastAsia" w:ascii="宋体" w:hAnsi="宋体" w:eastAsia="宋体"/>
          <w:b/>
          <w:sz w:val="24"/>
          <w:szCs w:val="24"/>
        </w:rPr>
        <w:t>（二）申请人禁止性行为，申请人参加本项目比选不得具有以下情形：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（1）提供虚假材料谋取中选；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（2）采取不正当手段诋毁、排挤其他申请人；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（3）与比选人、比选代理机构、或其他申请人恶意串通；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（4）向比选人、比选代理机构、比选评审委员会成员行贿或者提供其他不正当利益；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（5）在比选过程中与比选人、比选代理机构进行协商；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（6）中选后无正当理由拒不与比选人签订采购合同；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（7）未按照比选文件确定的事项签订采购合同；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（8）将采购合同转包或者违规分包；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（9）提供假冒伪劣产品；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（10）擅自变更、中止或者终止采购合同；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（11）拒绝有关部门的监督检查或者向监督检查部门提供虚假情况；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（12）法律法规规定的其他情形。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sz w:val="24"/>
          <w:szCs w:val="24"/>
        </w:rPr>
      </w:pPr>
      <w:r>
        <w:rPr>
          <w:rFonts w:hint="eastAsia" w:ascii="宋体" w:hAnsi="宋体" w:eastAsia="宋体"/>
          <w:b/>
          <w:sz w:val="28"/>
          <w:szCs w:val="28"/>
        </w:rPr>
        <w:t>九、其他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noWrap w:val="0"/>
            <w:vAlign w:val="center"/>
          </w:tcPr>
          <w:p>
            <w:pPr>
              <w:adjustRightInd w:val="0"/>
              <w:spacing w:line="360" w:lineRule="exact"/>
              <w:jc w:val="center"/>
              <w:rPr>
                <w:rFonts w:ascii="宋体" w:hAnsi="宋体" w:eastAsia="宋体"/>
                <w:b/>
                <w:kern w:val="0"/>
                <w:sz w:val="24"/>
                <w:szCs w:val="24"/>
              </w:rPr>
            </w:pPr>
            <w:r>
              <w:rPr>
                <w:rFonts w:ascii="宋体" w:hAnsi="宋体" w:eastAsia="宋体"/>
                <w:b/>
                <w:kern w:val="0"/>
                <w:sz w:val="24"/>
                <w:szCs w:val="24"/>
              </w:rPr>
              <w:t>序号</w:t>
            </w:r>
          </w:p>
        </w:tc>
        <w:tc>
          <w:tcPr>
            <w:tcW w:w="1351" w:type="pct"/>
            <w:noWrap w:val="0"/>
            <w:vAlign w:val="center"/>
          </w:tcPr>
          <w:p>
            <w:pPr>
              <w:adjustRightInd w:val="0"/>
              <w:spacing w:line="360" w:lineRule="exact"/>
              <w:jc w:val="center"/>
              <w:rPr>
                <w:rFonts w:ascii="宋体" w:hAnsi="宋体" w:eastAsia="宋体"/>
                <w:b/>
                <w:kern w:val="0"/>
                <w:sz w:val="24"/>
                <w:szCs w:val="24"/>
              </w:rPr>
            </w:pPr>
            <w:r>
              <w:rPr>
                <w:rFonts w:ascii="宋体" w:hAnsi="宋体" w:eastAsia="宋体"/>
                <w:b/>
                <w:kern w:val="0"/>
                <w:sz w:val="24"/>
                <w:szCs w:val="24"/>
              </w:rPr>
              <w:t>本项目的资格要求</w:t>
            </w:r>
          </w:p>
        </w:tc>
        <w:tc>
          <w:tcPr>
            <w:tcW w:w="3259" w:type="pct"/>
            <w:noWrap w:val="0"/>
            <w:vAlign w:val="center"/>
          </w:tcPr>
          <w:p>
            <w:pPr>
              <w:adjustRightInd w:val="0"/>
              <w:spacing w:line="360" w:lineRule="exact"/>
              <w:jc w:val="center"/>
              <w:rPr>
                <w:rFonts w:ascii="宋体" w:hAnsi="宋体" w:eastAsia="宋体"/>
                <w:b/>
                <w:kern w:val="0"/>
                <w:sz w:val="24"/>
                <w:szCs w:val="24"/>
              </w:rPr>
            </w:pPr>
            <w:r>
              <w:rPr>
                <w:rFonts w:hint="eastAsia" w:ascii="宋体" w:hAnsi="宋体" w:eastAsia="宋体"/>
                <w:b/>
                <w:kern w:val="0"/>
                <w:sz w:val="24"/>
                <w:szCs w:val="24"/>
              </w:rPr>
              <w:t>申请人</w:t>
            </w:r>
            <w:r>
              <w:rPr>
                <w:rFonts w:ascii="宋体" w:hAnsi="宋体" w:eastAsia="宋体"/>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noWrap w:val="0"/>
            <w:vAlign w:val="center"/>
          </w:tcPr>
          <w:p>
            <w:pPr>
              <w:spacing w:line="360" w:lineRule="exact"/>
              <w:jc w:val="center"/>
              <w:rPr>
                <w:rFonts w:ascii="宋体" w:hAnsi="宋体" w:eastAsia="宋体"/>
                <w:bCs/>
                <w:kern w:val="0"/>
                <w:szCs w:val="21"/>
              </w:rPr>
            </w:pPr>
            <w:r>
              <w:rPr>
                <w:rFonts w:ascii="宋体" w:hAnsi="宋体" w:eastAsia="宋体"/>
                <w:b/>
                <w:color w:val="000000"/>
                <w:kern w:val="0"/>
                <w:szCs w:val="21"/>
              </w:rPr>
              <w:t>1</w:t>
            </w:r>
          </w:p>
        </w:tc>
        <w:tc>
          <w:tcPr>
            <w:tcW w:w="1351" w:type="pct"/>
            <w:noWrap w:val="0"/>
            <w:vAlign w:val="center"/>
          </w:tcPr>
          <w:p>
            <w:pPr>
              <w:spacing w:line="360" w:lineRule="exact"/>
              <w:jc w:val="center"/>
              <w:rPr>
                <w:rFonts w:ascii="宋体" w:hAnsi="宋体" w:eastAsia="宋体"/>
                <w:bCs/>
                <w:kern w:val="0"/>
                <w:szCs w:val="21"/>
              </w:rPr>
            </w:pPr>
            <w:r>
              <w:rPr>
                <w:rFonts w:ascii="宋体" w:hAnsi="宋体" w:eastAsia="宋体"/>
                <w:b/>
                <w:color w:val="000000"/>
                <w:kern w:val="0"/>
                <w:szCs w:val="21"/>
              </w:rPr>
              <w:t>具有独立承担民事责任的能力</w:t>
            </w:r>
          </w:p>
        </w:tc>
        <w:tc>
          <w:tcPr>
            <w:tcW w:w="3259" w:type="pct"/>
            <w:noWrap w:val="0"/>
            <w:vAlign w:val="center"/>
          </w:tcPr>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（1）申请人若为企业法人：提供“统一社会信用代码营业执照”；未换证的提供“营业执照、税务登记证、组织机构代码证或三证合一的营业执照”；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（2）若为事业法人：提供“统一社会信用代码法人登记证书”；未换证的提交“事业法人登记证书、组织机构代码证”；</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（3）若为其他组织：提供“对应主管部门颁发的准许执业证明文件或营业执照”；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noWrap w:val="0"/>
            <w:vAlign w:val="center"/>
          </w:tcPr>
          <w:p>
            <w:pPr>
              <w:spacing w:line="360" w:lineRule="exact"/>
              <w:jc w:val="center"/>
              <w:rPr>
                <w:rFonts w:ascii="宋体" w:hAnsi="宋体" w:eastAsia="宋体"/>
                <w:b/>
                <w:color w:val="000000"/>
                <w:kern w:val="0"/>
                <w:szCs w:val="21"/>
              </w:rPr>
            </w:pPr>
            <w:r>
              <w:rPr>
                <w:rFonts w:ascii="宋体" w:hAnsi="宋体" w:eastAsia="宋体"/>
                <w:b/>
                <w:color w:val="000000"/>
                <w:kern w:val="0"/>
                <w:szCs w:val="21"/>
              </w:rPr>
              <w:t>2</w:t>
            </w:r>
          </w:p>
        </w:tc>
        <w:tc>
          <w:tcPr>
            <w:tcW w:w="1351" w:type="pct"/>
            <w:noWrap w:val="0"/>
            <w:vAlign w:val="center"/>
          </w:tcPr>
          <w:p>
            <w:pPr>
              <w:spacing w:line="360" w:lineRule="exact"/>
              <w:jc w:val="center"/>
              <w:rPr>
                <w:rFonts w:ascii="宋体" w:hAnsi="宋体" w:eastAsia="宋体"/>
                <w:b/>
                <w:color w:val="000000"/>
                <w:kern w:val="0"/>
                <w:szCs w:val="21"/>
              </w:rPr>
            </w:pPr>
            <w:r>
              <w:rPr>
                <w:rFonts w:ascii="宋体" w:hAnsi="宋体" w:eastAsia="宋体"/>
                <w:b/>
                <w:color w:val="000000"/>
                <w:kern w:val="0"/>
                <w:szCs w:val="21"/>
              </w:rPr>
              <w:t>具有健全的财务会计制度</w:t>
            </w:r>
          </w:p>
        </w:tc>
        <w:tc>
          <w:tcPr>
            <w:tcW w:w="3259" w:type="pct"/>
            <w:noWrap w:val="0"/>
            <w:vAlign w:val="center"/>
          </w:tcPr>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申请人根据自身情况选择提供其中任意一项：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（1）可提供2021或2022年度经审计的财务报告复印件（包含审计报告和审计报告中所涉及的财务报表和报表附注）；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（2）也可提供申请人内部的2021或2022年度财务报表复印件（至少包含资产负债表）；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（3）也可提供截至提交首次比选申请文件截止日一年内银行出具的资信证明（复印件）；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（4）申请人注册时间截至提交首次比选申请文件截止日不足一年的，也可提供工商管理部门备案的学校章程（复印件）；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3</w:t>
            </w:r>
          </w:p>
        </w:tc>
        <w:tc>
          <w:tcPr>
            <w:tcW w:w="1351"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具有良好的商业信誉</w:t>
            </w:r>
            <w:r>
              <w:rPr>
                <w:rFonts w:hint="eastAsia" w:ascii="宋体" w:hAnsi="宋体" w:eastAsia="宋体"/>
                <w:b/>
                <w:color w:val="000000"/>
                <w:kern w:val="0"/>
                <w:szCs w:val="21"/>
              </w:rPr>
              <w:t>和</w:t>
            </w:r>
            <w:r>
              <w:rPr>
                <w:rFonts w:ascii="宋体" w:hAnsi="宋体" w:eastAsia="宋体"/>
                <w:b/>
                <w:color w:val="000000"/>
                <w:kern w:val="0"/>
                <w:szCs w:val="21"/>
              </w:rPr>
              <w:t>履行合同所必需的设备和专业技术能力</w:t>
            </w:r>
          </w:p>
        </w:tc>
        <w:tc>
          <w:tcPr>
            <w:tcW w:w="3259" w:type="pct"/>
            <w:vMerge w:val="restart"/>
            <w:noWrap w:val="0"/>
            <w:vAlign w:val="center"/>
          </w:tcPr>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统一提供承诺函</w:t>
            </w:r>
          </w:p>
          <w:p>
            <w:pPr>
              <w:spacing w:line="360" w:lineRule="auto"/>
              <w:ind w:firstLine="480" w:firstLineChars="200"/>
              <w:rPr>
                <w:rFonts w:ascii="宋体" w:hAnsi="宋体" w:eastAsia="宋体"/>
                <w:bCs/>
                <w:kern w:val="0"/>
                <w:szCs w:val="21"/>
              </w:rPr>
            </w:pPr>
            <w:r>
              <w:rPr>
                <w:rFonts w:hint="eastAsia" w:ascii="宋体" w:hAnsi="宋体" w:eastAsia="宋体"/>
                <w:sz w:val="24"/>
                <w:szCs w:val="24"/>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4</w:t>
            </w:r>
          </w:p>
        </w:tc>
        <w:tc>
          <w:tcPr>
            <w:tcW w:w="1351"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有依法缴纳税收和社会保障资金的良好记录</w:t>
            </w:r>
          </w:p>
        </w:tc>
        <w:tc>
          <w:tcPr>
            <w:tcW w:w="3259" w:type="pct"/>
            <w:vMerge w:val="continue"/>
            <w:noWrap w:val="0"/>
            <w:vAlign w:val="center"/>
          </w:tcPr>
          <w:p>
            <w:pPr>
              <w:adjustRightInd w:val="0"/>
              <w:spacing w:line="240" w:lineRule="exact"/>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5</w:t>
            </w:r>
          </w:p>
        </w:tc>
        <w:tc>
          <w:tcPr>
            <w:tcW w:w="1351" w:type="pct"/>
            <w:noWrap w:val="0"/>
            <w:vAlign w:val="center"/>
          </w:tcPr>
          <w:p>
            <w:pPr>
              <w:spacing w:line="300" w:lineRule="exact"/>
              <w:jc w:val="center"/>
              <w:rPr>
                <w:rFonts w:ascii="宋体" w:hAnsi="宋体" w:eastAsia="宋体"/>
                <w:b/>
                <w:color w:val="000000"/>
                <w:kern w:val="0"/>
                <w:szCs w:val="21"/>
              </w:rPr>
            </w:pPr>
            <w:r>
              <w:rPr>
                <w:rFonts w:hint="eastAsia" w:ascii="宋体" w:hAnsi="宋体" w:eastAsia="宋体"/>
                <w:b/>
                <w:color w:val="000000"/>
                <w:kern w:val="0"/>
                <w:szCs w:val="21"/>
              </w:rPr>
              <w:t>参加本次比选活动前三年内，在经营活动中没有重大违法记录</w:t>
            </w:r>
          </w:p>
        </w:tc>
        <w:tc>
          <w:tcPr>
            <w:tcW w:w="3259" w:type="pct"/>
            <w:vMerge w:val="continue"/>
            <w:noWrap w:val="0"/>
            <w:vAlign w:val="center"/>
          </w:tcPr>
          <w:p>
            <w:pPr>
              <w:adjustRightInd w:val="0"/>
              <w:spacing w:line="240" w:lineRule="exact"/>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6</w:t>
            </w:r>
          </w:p>
        </w:tc>
        <w:tc>
          <w:tcPr>
            <w:tcW w:w="1351" w:type="pct"/>
            <w:noWrap w:val="0"/>
            <w:vAlign w:val="center"/>
          </w:tcPr>
          <w:p>
            <w:pPr>
              <w:spacing w:line="300" w:lineRule="exact"/>
              <w:jc w:val="center"/>
              <w:rPr>
                <w:rFonts w:ascii="宋体" w:hAnsi="宋体" w:eastAsia="宋体"/>
                <w:b/>
                <w:color w:val="000000"/>
                <w:kern w:val="0"/>
                <w:szCs w:val="21"/>
              </w:rPr>
            </w:pPr>
            <w:r>
              <w:rPr>
                <w:rFonts w:ascii="宋体" w:hAnsi="宋体" w:eastAsia="宋体"/>
                <w:b/>
                <w:color w:val="000000"/>
                <w:kern w:val="0"/>
                <w:szCs w:val="21"/>
              </w:rPr>
              <w:t>法律、行政法规规定的其他条件</w:t>
            </w:r>
          </w:p>
        </w:tc>
        <w:tc>
          <w:tcPr>
            <w:tcW w:w="3259" w:type="pct"/>
            <w:vMerge w:val="continue"/>
            <w:noWrap w:val="0"/>
            <w:vAlign w:val="center"/>
          </w:tcPr>
          <w:p>
            <w:pPr>
              <w:adjustRightInd w:val="0"/>
              <w:spacing w:line="240" w:lineRule="exact"/>
              <w:rPr>
                <w:rFonts w:ascii="宋体" w:hAnsi="宋体" w:eastAsia="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spacing w:line="360" w:lineRule="exact"/>
              <w:jc w:val="center"/>
              <w:rPr>
                <w:rFonts w:ascii="宋体" w:hAnsi="宋体" w:eastAsia="宋体"/>
                <w:b/>
                <w:color w:val="000000"/>
                <w:kern w:val="0"/>
                <w:szCs w:val="21"/>
              </w:rPr>
            </w:pPr>
            <w:r>
              <w:rPr>
                <w:rFonts w:hint="eastAsia" w:ascii="宋体" w:hAnsi="宋体" w:eastAsia="宋体"/>
                <w:b/>
                <w:color w:val="000000"/>
                <w:kern w:val="0"/>
                <w:szCs w:val="21"/>
              </w:rPr>
              <w:t>7</w:t>
            </w:r>
          </w:p>
        </w:tc>
        <w:tc>
          <w:tcPr>
            <w:tcW w:w="1351" w:type="pct"/>
            <w:noWrap w:val="0"/>
            <w:vAlign w:val="center"/>
          </w:tcPr>
          <w:p>
            <w:pPr>
              <w:spacing w:line="360" w:lineRule="exact"/>
              <w:jc w:val="center"/>
              <w:rPr>
                <w:rFonts w:ascii="宋体" w:hAnsi="宋体" w:eastAsia="宋体"/>
                <w:b/>
                <w:color w:val="000000"/>
                <w:kern w:val="0"/>
                <w:szCs w:val="21"/>
              </w:rPr>
            </w:pPr>
            <w:r>
              <w:rPr>
                <w:rFonts w:hint="eastAsia" w:ascii="宋体" w:hAnsi="宋体" w:eastAsia="宋体"/>
                <w:b/>
                <w:color w:val="000000"/>
                <w:kern w:val="0"/>
                <w:szCs w:val="21"/>
              </w:rPr>
              <w:t>其他类似效力要求：授权参加本次比选活动的申请人代表证明</w:t>
            </w:r>
          </w:p>
        </w:tc>
        <w:tc>
          <w:tcPr>
            <w:tcW w:w="3259" w:type="pct"/>
            <w:noWrap w:val="0"/>
            <w:vAlign w:val="center"/>
          </w:tcPr>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（1）法定代表人/单位负责人授权书原件（非法定代表人或单位负责人参与比选时提供，格式见第六章）；</w:t>
            </w:r>
          </w:p>
          <w:p>
            <w:pPr>
              <w:spacing w:line="360" w:lineRule="auto"/>
              <w:ind w:firstLine="480" w:firstLineChars="200"/>
              <w:rPr>
                <w:rFonts w:ascii="宋体" w:hAnsi="宋体" w:eastAsia="宋体"/>
                <w:bCs/>
                <w:kern w:val="0"/>
                <w:szCs w:val="21"/>
              </w:rPr>
            </w:pPr>
            <w:r>
              <w:rPr>
                <w:rFonts w:hint="eastAsia" w:ascii="宋体" w:hAnsi="宋体" w:eastAsia="宋体"/>
                <w:sz w:val="24"/>
                <w:szCs w:val="24"/>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ind w:firstLine="482" w:firstLineChars="200"/>
        <w:outlineLvl w:val="2"/>
        <w:rPr>
          <w:rFonts w:hint="eastAsia" w:ascii="宋体" w:hAnsi="宋体" w:eastAsia="宋体"/>
          <w:b/>
          <w:sz w:val="24"/>
          <w:szCs w:val="24"/>
          <w:lang w:val="zh-CN"/>
        </w:rPr>
      </w:pPr>
    </w:p>
    <w:p>
      <w:pPr>
        <w:spacing w:line="360" w:lineRule="auto"/>
        <w:ind w:firstLine="482" w:firstLineChars="200"/>
        <w:outlineLvl w:val="2"/>
        <w:rPr>
          <w:rFonts w:hint="eastAsia" w:ascii="宋体" w:hAnsi="宋体" w:eastAsia="宋体"/>
          <w:b/>
          <w:sz w:val="24"/>
          <w:szCs w:val="24"/>
          <w:lang w:val="zh-CN"/>
        </w:rPr>
      </w:pPr>
      <w:r>
        <w:rPr>
          <w:rFonts w:hint="eastAsia" w:ascii="宋体" w:hAnsi="宋体" w:eastAsia="宋体"/>
          <w:b/>
          <w:sz w:val="24"/>
          <w:szCs w:val="24"/>
          <w:lang w:val="zh-CN"/>
        </w:rPr>
        <w:t>一、项目概述</w:t>
      </w:r>
    </w:p>
    <w:p>
      <w:pPr>
        <w:pStyle w:val="6"/>
        <w:spacing w:line="400" w:lineRule="exact"/>
        <w:ind w:firstLine="480"/>
        <w:rPr>
          <w:rFonts w:hint="eastAsia" w:ascii="宋体" w:hAnsi="宋体" w:eastAsia="宋体"/>
          <w:sz w:val="24"/>
          <w:szCs w:val="24"/>
        </w:rPr>
      </w:pPr>
      <w:r>
        <w:rPr>
          <w:rFonts w:hint="eastAsia" w:ascii="宋体" w:hAnsi="宋体" w:eastAsia="宋体"/>
          <w:sz w:val="24"/>
          <w:szCs w:val="24"/>
        </w:rPr>
        <w:t>结合四川铁道职业学院考场建设的实际情况，充分考虑四川省2024年单招考试、专升本考试需求，在四川铁道职业学院现有巡考系统和标准考室的基础上，扩大巡考系统接入能力，扩大考点承接能力，通过系统建设形成安全、实时、高效的国家教育考试运行体系，全面提升教育考试管理水平和服务质量，四川铁道职业学院拟采购“标准化考场扩容建设项目”，本项目共一个包。</w:t>
      </w:r>
    </w:p>
    <w:p>
      <w:pPr>
        <w:pStyle w:val="6"/>
        <w:spacing w:line="400" w:lineRule="exact"/>
        <w:ind w:firstLine="480"/>
        <w:rPr>
          <w:rFonts w:hint="eastAsia" w:ascii="宋体" w:hAnsi="宋体" w:eastAsia="宋体"/>
          <w:sz w:val="24"/>
          <w:szCs w:val="24"/>
        </w:rPr>
      </w:pPr>
      <w:r>
        <w:rPr>
          <w:rFonts w:hint="eastAsia" w:ascii="宋体" w:hAnsi="宋体" w:eastAsia="宋体"/>
          <w:sz w:val="24"/>
          <w:szCs w:val="24"/>
        </w:rPr>
        <w:t>本项目在2017年建设基础上进行扩容，补充保密室、标考考试室设施和设备，将学校标准考试室数量由当时可用的36间提升到100间，其中，将不可用的4间原地修复2间、迁移修复2间，新建60间。为此，在整合现有设备的情况下，采购标考摄像机42台、拾音器61个、金属探测仪34台、防盗门1套、保密柜3个。使四川铁道职业学院标准化考室达到100间，满足单独招生、专升本等重大考试的组织、开展能力。</w:t>
      </w:r>
    </w:p>
    <w:p>
      <w:pPr>
        <w:spacing w:line="360" w:lineRule="auto"/>
        <w:ind w:firstLine="482" w:firstLineChars="200"/>
        <w:outlineLvl w:val="2"/>
        <w:rPr>
          <w:rFonts w:hint="eastAsia" w:ascii="宋体" w:hAnsi="宋体" w:eastAsia="宋体"/>
          <w:b/>
          <w:sz w:val="24"/>
          <w:szCs w:val="24"/>
          <w:lang w:val="zh-CN"/>
        </w:rPr>
      </w:pPr>
    </w:p>
    <w:p>
      <w:pPr>
        <w:spacing w:line="360" w:lineRule="auto"/>
        <w:ind w:firstLine="482" w:firstLineChars="200"/>
        <w:outlineLvl w:val="2"/>
        <w:rPr>
          <w:rFonts w:hint="eastAsia" w:ascii="宋体" w:hAnsi="宋体" w:eastAsia="宋体"/>
          <w:b/>
          <w:sz w:val="24"/>
          <w:szCs w:val="24"/>
          <w:lang w:val="zh-CN"/>
        </w:rPr>
      </w:pPr>
      <w:r>
        <w:rPr>
          <w:rFonts w:hint="eastAsia" w:ascii="宋体" w:hAnsi="宋体" w:eastAsia="宋体"/>
          <w:b/>
          <w:sz w:val="24"/>
          <w:szCs w:val="24"/>
          <w:lang w:val="zh-CN"/>
        </w:rPr>
        <w:t>二、技术参数要求</w:t>
      </w:r>
    </w:p>
    <w:tbl>
      <w:tblPr>
        <w:tblStyle w:val="19"/>
        <w:tblW w:w="9386" w:type="dxa"/>
        <w:tblInd w:w="0" w:type="dxa"/>
        <w:tblLayout w:type="fixed"/>
        <w:tblCellMar>
          <w:top w:w="0" w:type="dxa"/>
          <w:left w:w="108" w:type="dxa"/>
          <w:bottom w:w="0" w:type="dxa"/>
          <w:right w:w="108" w:type="dxa"/>
        </w:tblCellMar>
      </w:tblPr>
      <w:tblGrid>
        <w:gridCol w:w="592"/>
        <w:gridCol w:w="1657"/>
        <w:gridCol w:w="4411"/>
        <w:gridCol w:w="1402"/>
        <w:gridCol w:w="1324"/>
      </w:tblGrid>
      <w:tr>
        <w:tblPrEx>
          <w:tblCellMar>
            <w:top w:w="0" w:type="dxa"/>
            <w:left w:w="108" w:type="dxa"/>
            <w:bottom w:w="0" w:type="dxa"/>
            <w:right w:w="108" w:type="dxa"/>
          </w:tblCellMar>
        </w:tblPrEx>
        <w:trPr>
          <w:trHeight w:val="866" w:hRule="atLeas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规格/型号/工艺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数量（预计）</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CellMar>
            <w:top w:w="0" w:type="dxa"/>
            <w:left w:w="108" w:type="dxa"/>
            <w:bottom w:w="0" w:type="dxa"/>
            <w:right w:w="108" w:type="dxa"/>
          </w:tblCellMar>
        </w:tblPrEx>
        <w:trPr>
          <w:trHeight w:val="6050"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标考红外高清半球摄像机</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1、嵌入式硬件设备，实时操作系统；支持设备认证功能、加密传输能力及数字水印加密，防数据被篡改；</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2、采用超低照度不低于200万(1920×1080) 像素，性能不低于1/2.7英寸CMOS图像传感器，支持考场模式；</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3、最低照度：彩色≤0.001LX，黑白≤0.0001Lx；</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4、支持宽动态，宽动态能力≥130；</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5、▲支持智能红外功能：当开启红外灯光功能后，能根据所射目标距离自动调节红外辐射功率，红外距离≥50米；</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6、★符合《国家教育考试网上巡查系统视频标准技术规范（2017版）》（JY/T-KS-JS-2017-1）规范；</w:t>
            </w:r>
          </w:p>
          <w:p>
            <w:pP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7、★含摄像机支架、电源及电源插座；</w:t>
            </w:r>
          </w:p>
        </w:tc>
        <w:tc>
          <w:tcPr>
            <w:tcW w:w="1402"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42</w:t>
            </w:r>
          </w:p>
        </w:tc>
        <w:tc>
          <w:tcPr>
            <w:tcW w:w="1324" w:type="dxa"/>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w:t>
            </w:r>
          </w:p>
        </w:tc>
      </w:tr>
      <w:tr>
        <w:tblPrEx>
          <w:tblCellMar>
            <w:top w:w="0" w:type="dxa"/>
            <w:left w:w="108" w:type="dxa"/>
            <w:bottom w:w="0" w:type="dxa"/>
            <w:right w:w="108" w:type="dxa"/>
          </w:tblCellMar>
        </w:tblPrEx>
        <w:trPr>
          <w:trHeight w:val="4057"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拾音器</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1、▲保真型监听器，高保真、语音清晰纯真、低噪音，</w:t>
            </w:r>
          </w:p>
          <w:p>
            <w:pPr>
              <w:widowControl/>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灵敏度高，内置 DSP降噪芯片，Clearspeech语音软件降噪，抗回音，持续稳定音频监听面积达不低于50平方米以上；</w:t>
            </w:r>
          </w:p>
          <w:p>
            <w:pPr>
              <w:pStyle w:val="8"/>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2、频率响应300Hz～8500Hz(±6dB)，灵敏度(标准音源1米,94dB SPL)：-4.0dB～+3.0dB (0dB=1V/Pa, 1KHz)，最大承受音压 120dB SPL (1KHz,THD 1%)，输出阻抗 600 ～ 1000 欧姆非平衡，输出信号幅度 2.5Vpp/-25db；</w:t>
            </w:r>
          </w:p>
        </w:tc>
        <w:tc>
          <w:tcPr>
            <w:tcW w:w="140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61</w:t>
            </w:r>
          </w:p>
        </w:tc>
        <w:tc>
          <w:tcPr>
            <w:tcW w:w="1324"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个</w:t>
            </w:r>
          </w:p>
        </w:tc>
      </w:tr>
      <w:tr>
        <w:tblPrEx>
          <w:tblCellMar>
            <w:top w:w="0" w:type="dxa"/>
            <w:left w:w="108" w:type="dxa"/>
            <w:bottom w:w="0" w:type="dxa"/>
            <w:right w:w="108" w:type="dxa"/>
          </w:tblCellMar>
        </w:tblPrEx>
        <w:trPr>
          <w:trHeight w:val="2112"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金属探测仪</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1、探测方式：震动/声音；</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2、电源：≥9V方块电池；</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3、▲探测距离：≥9CM；</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4、工作电流：≤50MA；</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5、重量：≤400g；</w:t>
            </w:r>
          </w:p>
        </w:tc>
        <w:tc>
          <w:tcPr>
            <w:tcW w:w="140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34</w:t>
            </w:r>
          </w:p>
        </w:tc>
        <w:tc>
          <w:tcPr>
            <w:tcW w:w="1324"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台</w:t>
            </w:r>
          </w:p>
        </w:tc>
      </w:tr>
      <w:tr>
        <w:tblPrEx>
          <w:tblCellMar>
            <w:top w:w="0" w:type="dxa"/>
            <w:left w:w="108" w:type="dxa"/>
            <w:bottom w:w="0" w:type="dxa"/>
            <w:right w:w="108" w:type="dxa"/>
          </w:tblCellMar>
        </w:tblPrEx>
        <w:trPr>
          <w:trHeight w:val="2652"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保密室防盗门</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（甲级门+C级锁芯+智能锁）</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1、★甲级防盗门；材质：不锈钢或者钢质；（需提供国家认可的认证（检测）机构出具的检测报告复印件并加盖投标人公章）</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2、★C级锁芯；（需提供国家认可的认证（检测）机构出具的检测报告复印件并加盖投标人公章）</w:t>
            </w:r>
          </w:p>
        </w:tc>
        <w:tc>
          <w:tcPr>
            <w:tcW w:w="140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w:t>
            </w:r>
          </w:p>
        </w:tc>
        <w:tc>
          <w:tcPr>
            <w:tcW w:w="1324"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套</w:t>
            </w:r>
          </w:p>
        </w:tc>
      </w:tr>
      <w:tr>
        <w:tblPrEx>
          <w:tblCellMar>
            <w:top w:w="0" w:type="dxa"/>
            <w:left w:w="108" w:type="dxa"/>
            <w:bottom w:w="0" w:type="dxa"/>
            <w:right w:w="108" w:type="dxa"/>
          </w:tblCellMar>
        </w:tblPrEx>
        <w:trPr>
          <w:trHeight w:val="1739"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保密柜</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1、规格：1800mm×900mm×400mm；</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2、★带电子密码锁；</w:t>
            </w:r>
          </w:p>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3、▲采用≥1.2mm板材；</w:t>
            </w:r>
          </w:p>
        </w:tc>
        <w:tc>
          <w:tcPr>
            <w:tcW w:w="1402"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w:t>
            </w:r>
          </w:p>
        </w:tc>
        <w:tc>
          <w:tcPr>
            <w:tcW w:w="1324" w:type="dxa"/>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个</w:t>
            </w:r>
          </w:p>
        </w:tc>
      </w:tr>
      <w:tr>
        <w:tblPrEx>
          <w:tblCellMar>
            <w:top w:w="0" w:type="dxa"/>
            <w:left w:w="108" w:type="dxa"/>
            <w:bottom w:w="0" w:type="dxa"/>
            <w:right w:w="108" w:type="dxa"/>
          </w:tblCellMar>
        </w:tblPrEx>
        <w:trPr>
          <w:trHeight w:val="1131" w:hRule="exact"/>
        </w:trPr>
        <w:tc>
          <w:tcPr>
            <w:tcW w:w="59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摄像机电源线</w:t>
            </w:r>
          </w:p>
        </w:tc>
        <w:tc>
          <w:tcPr>
            <w:tcW w:w="441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1、▲RVV2*1.5纯铜电缆;</w:t>
            </w:r>
          </w:p>
        </w:tc>
        <w:tc>
          <w:tcPr>
            <w:tcW w:w="1402"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4000</w:t>
            </w:r>
          </w:p>
        </w:tc>
        <w:tc>
          <w:tcPr>
            <w:tcW w:w="1324" w:type="dxa"/>
            <w:tcBorders>
              <w:top w:val="single" w:color="auto"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米</w:t>
            </w:r>
          </w:p>
        </w:tc>
      </w:tr>
    </w:tbl>
    <w:p>
      <w:pPr>
        <w:spacing w:line="360" w:lineRule="auto"/>
        <w:rPr>
          <w:rFonts w:hint="eastAsia" w:ascii="宋体" w:hAnsi="宋体" w:eastAsia="宋体"/>
          <w:sz w:val="24"/>
          <w:szCs w:val="24"/>
          <w:lang w:val="zh-CN"/>
        </w:rPr>
      </w:pPr>
    </w:p>
    <w:p>
      <w:pPr>
        <w:spacing w:line="360" w:lineRule="auto"/>
        <w:ind w:firstLine="482" w:firstLineChars="200"/>
        <w:outlineLvl w:val="2"/>
        <w:rPr>
          <w:rFonts w:hint="eastAsia" w:ascii="宋体" w:hAnsi="宋体" w:eastAsia="宋体"/>
          <w:b/>
          <w:sz w:val="24"/>
          <w:szCs w:val="24"/>
          <w:lang w:val="zh-CN"/>
        </w:rPr>
      </w:pPr>
      <w:r>
        <w:rPr>
          <w:rFonts w:hint="eastAsia" w:ascii="宋体" w:hAnsi="宋体" w:eastAsia="宋体"/>
          <w:b/>
          <w:sz w:val="24"/>
          <w:szCs w:val="24"/>
          <w:lang w:val="zh-CN"/>
        </w:rPr>
        <w:t>三、商务要求</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cs="宋体"/>
          <w:sz w:val="24"/>
          <w:szCs w:val="24"/>
        </w:rPr>
        <w:t xml:space="preserve"> ★</w:t>
      </w:r>
      <w:r>
        <w:rPr>
          <w:rFonts w:hint="eastAsia" w:ascii="宋体" w:hAnsi="宋体" w:eastAsia="宋体"/>
          <w:bCs/>
          <w:sz w:val="24"/>
          <w:szCs w:val="24"/>
        </w:rPr>
        <w:t>交货期及地点</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1.1交货期：合同签订</w:t>
      </w:r>
      <w:r>
        <w:rPr>
          <w:rFonts w:ascii="宋体" w:hAnsi="宋体" w:eastAsia="宋体"/>
          <w:bCs/>
          <w:sz w:val="24"/>
          <w:szCs w:val="24"/>
        </w:rPr>
        <w:t>2</w:t>
      </w:r>
      <w:r>
        <w:rPr>
          <w:rFonts w:hint="eastAsia" w:ascii="宋体" w:hAnsi="宋体" w:eastAsia="宋体"/>
          <w:bCs/>
          <w:sz w:val="24"/>
          <w:szCs w:val="24"/>
        </w:rPr>
        <w:t>5天内完成全部设备的安装、调试、验收。</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2</w:t>
      </w:r>
      <w:r>
        <w:rPr>
          <w:rFonts w:hint="eastAsia" w:ascii="宋体" w:hAnsi="宋体" w:eastAsia="宋体"/>
          <w:bCs/>
          <w:sz w:val="24"/>
          <w:szCs w:val="24"/>
        </w:rPr>
        <w:t>交货地点：成都市郫</w:t>
      </w:r>
      <w:r>
        <w:rPr>
          <w:rFonts w:hint="eastAsia" w:ascii="宋体" w:hAnsi="宋体"/>
          <w:bCs/>
          <w:sz w:val="24"/>
          <w:szCs w:val="24"/>
          <w:lang w:eastAsia="zh-CN"/>
        </w:rPr>
        <w:t>都区</w:t>
      </w:r>
      <w:r>
        <w:rPr>
          <w:rFonts w:hint="eastAsia" w:ascii="宋体" w:hAnsi="宋体" w:eastAsia="宋体"/>
          <w:bCs/>
          <w:sz w:val="24"/>
          <w:szCs w:val="24"/>
        </w:rPr>
        <w:t>安德</w:t>
      </w:r>
      <w:r>
        <w:rPr>
          <w:rFonts w:hint="eastAsia" w:ascii="宋体" w:hAnsi="宋体"/>
          <w:bCs/>
          <w:sz w:val="24"/>
          <w:szCs w:val="24"/>
          <w:lang w:eastAsia="zh-CN"/>
        </w:rPr>
        <w:t>街道</w:t>
      </w:r>
      <w:r>
        <w:rPr>
          <w:rFonts w:hint="eastAsia" w:ascii="宋体" w:hAnsi="宋体" w:eastAsia="宋体"/>
          <w:bCs/>
          <w:sz w:val="24"/>
          <w:szCs w:val="24"/>
        </w:rPr>
        <w:t>彭温路399号</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2.付款方法和条件</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项目按预付款和尾款的方式分两次支付，其中预付款为合同金额的60%，尾款为合同金额的40%。采购人</w:t>
      </w:r>
      <w:r>
        <w:rPr>
          <w:rFonts w:hint="eastAsia" w:ascii="宋体" w:hAnsi="宋体" w:eastAsia="宋体"/>
          <w:bCs/>
          <w:color w:val="000000" w:themeColor="text1"/>
          <w:sz w:val="24"/>
          <w:szCs w:val="24"/>
          <w:highlight w:val="none"/>
          <w14:textFill>
            <w14:solidFill>
              <w14:schemeClr w14:val="tx1"/>
            </w14:solidFill>
          </w14:textFill>
        </w:rPr>
        <w:t>收到履约保证金</w:t>
      </w:r>
      <w:r>
        <w:rPr>
          <w:rFonts w:hint="eastAsia" w:ascii="宋体" w:hAnsi="宋体" w:eastAsia="宋体"/>
          <w:bCs/>
          <w:sz w:val="24"/>
          <w:szCs w:val="24"/>
        </w:rPr>
        <w:t>及供应商开具的与预付款等额的增值税发票，于10个工作日内向供应商支付；完成交货并验收通过后，采购人在收到供应商开具的与尾款等额的增值税发票，于10个工作日内完成尾款支付。</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项目验收通过，且顺利保障2</w:t>
      </w:r>
      <w:r>
        <w:rPr>
          <w:rFonts w:ascii="宋体" w:hAnsi="宋体" w:eastAsia="宋体"/>
          <w:bCs/>
          <w:sz w:val="24"/>
          <w:szCs w:val="24"/>
        </w:rPr>
        <w:t>024</w:t>
      </w:r>
      <w:r>
        <w:rPr>
          <w:rFonts w:hint="eastAsia" w:ascii="宋体" w:hAnsi="宋体" w:eastAsia="宋体"/>
          <w:bCs/>
          <w:sz w:val="24"/>
          <w:szCs w:val="24"/>
        </w:rPr>
        <w:t>年单独招生考试和专升本考试在收到供应商的退款财务凭证后10个工作日内，采购人以转账方式退回无息履约保证金。</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w:t>
      </w:r>
      <w:r>
        <w:rPr>
          <w:rFonts w:hint="eastAsia" w:ascii="宋体" w:hAnsi="宋体" w:eastAsia="宋体" w:cs="宋体"/>
          <w:sz w:val="24"/>
          <w:szCs w:val="24"/>
        </w:rPr>
        <w:t xml:space="preserve"> ★</w:t>
      </w:r>
      <w:r>
        <w:rPr>
          <w:rFonts w:hint="eastAsia" w:ascii="宋体" w:hAnsi="宋体" w:eastAsia="宋体"/>
          <w:bCs/>
          <w:sz w:val="24"/>
          <w:szCs w:val="24"/>
        </w:rPr>
        <w:t>项目验收</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项目安装调试完成后，需进行至少5天的试运行。试运行期满无质量问题，达到验收条件，采购人与中标供应商共同组织验收。试运行期间发现质量问题，采购人通知中标供应商维修，自维修结束之日起重新计算试运行日期；经3次维修仍不达验收条件，采购人有权中止合同，向中标供应商追回已支付的全部预付款，且履约保证金不予退还。</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验收条件：</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3.1所有设备、软件满足招标文件、中标供应商投标文件，且于合同约定一致；所有资料、授权、合格证书齐全。</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3.2所有设备、软件质量合格，除辅材外，以生产合格证或法律认可的其他同等效力资料认定；采购人在设备安装中开展辅材的质量监督。</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3.3所有设备、软件联合调试通过，无任何异常点。</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3.4实施资料齐全并完整移交给采购人，包括但不限于实施进度报告、项目实施清单、项目设备清单、弱电管网安装图、设备和系统使用手册、设备和系统账号和密码资料、系统测试报告、系统公共接口资料、下一步建设建议书等。</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3.5本次扩建的部分与采购人当前巡考系统完成兼容，监控和管理完全统一；建设后，所有已建设部分通过四川省教育厅和教育考试院的验收，与四川省考试指挥中心稳定地互联互通。费用包含在本次报价中。</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.6</w:t>
      </w:r>
      <w:r>
        <w:rPr>
          <w:rFonts w:hint="eastAsia" w:ascii="宋体" w:hAnsi="宋体" w:eastAsia="宋体"/>
          <w:bCs/>
          <w:sz w:val="24"/>
          <w:szCs w:val="24"/>
        </w:rPr>
        <w:t>验收条件3</w:t>
      </w:r>
      <w:r>
        <w:rPr>
          <w:rFonts w:ascii="宋体" w:hAnsi="宋体" w:eastAsia="宋体"/>
          <w:bCs/>
          <w:sz w:val="24"/>
          <w:szCs w:val="24"/>
        </w:rPr>
        <w:t>.4</w:t>
      </w:r>
      <w:r>
        <w:rPr>
          <w:rFonts w:hint="eastAsia" w:ascii="宋体" w:hAnsi="宋体" w:eastAsia="宋体"/>
          <w:bCs/>
          <w:sz w:val="24"/>
          <w:szCs w:val="24"/>
        </w:rPr>
        <w:t>、3</w:t>
      </w:r>
      <w:r>
        <w:rPr>
          <w:rFonts w:ascii="宋体" w:hAnsi="宋体" w:eastAsia="宋体"/>
          <w:bCs/>
          <w:sz w:val="24"/>
          <w:szCs w:val="24"/>
        </w:rPr>
        <w:t>.5</w:t>
      </w:r>
      <w:r>
        <w:rPr>
          <w:rFonts w:hint="eastAsia" w:ascii="宋体" w:hAnsi="宋体" w:eastAsia="宋体"/>
          <w:bCs/>
          <w:sz w:val="24"/>
          <w:szCs w:val="24"/>
        </w:rPr>
        <w:t>所要求的接口、互联互通等，其所涉及的系统接口、互联互通要求，均以《国家教育考试网上巡查系统视频标准技术规范（2017版）》（JY/T-KS-JS-2017-1）规范、国标（GB/T 28181-20</w:t>
      </w:r>
      <w:r>
        <w:rPr>
          <w:rFonts w:ascii="宋体" w:hAnsi="宋体" w:eastAsia="宋体"/>
          <w:bCs/>
          <w:sz w:val="24"/>
          <w:szCs w:val="24"/>
        </w:rPr>
        <w:t>22）</w:t>
      </w:r>
      <w:r>
        <w:rPr>
          <w:rFonts w:hint="eastAsia" w:ascii="宋体" w:hAnsi="宋体" w:eastAsia="宋体"/>
          <w:bCs/>
          <w:sz w:val="24"/>
          <w:szCs w:val="24"/>
        </w:rPr>
        <w:t>协议和标准ONVIF协议、四川省教育考试院和四川省教育厅关于单招考试和专升本考试通知文件为准。</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4.</w:t>
      </w:r>
      <w:r>
        <w:rPr>
          <w:rFonts w:hint="eastAsia" w:ascii="宋体" w:hAnsi="宋体" w:eastAsia="宋体" w:cs="宋体"/>
          <w:sz w:val="24"/>
          <w:szCs w:val="24"/>
        </w:rPr>
        <w:t xml:space="preserve"> ★</w:t>
      </w:r>
      <w:r>
        <w:rPr>
          <w:rFonts w:hint="eastAsia" w:ascii="宋体" w:hAnsi="宋体" w:eastAsia="宋体"/>
          <w:bCs/>
          <w:sz w:val="24"/>
          <w:szCs w:val="24"/>
        </w:rPr>
        <w:t>售后服务要求：</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4.1本项目质保期：本项目验收之日起整体质保不少于三年；</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.2</w:t>
      </w:r>
      <w:r>
        <w:rPr>
          <w:rFonts w:hint="eastAsia" w:ascii="宋体" w:hAnsi="宋体" w:eastAsia="宋体"/>
          <w:bCs/>
          <w:sz w:val="24"/>
          <w:szCs w:val="24"/>
        </w:rPr>
        <w:t>质保期内出现质量问题，供应商在接到通知后，需立即响应，8小时内到场，24小时内完成维修或更换，并承担修理调换的费用；质保期内，如货物经供应商3次维修仍不能达到本合同约定的质量标准，视作供应商未能按要求交货，采购人有权退货并追究供应商的违约责任。</w:t>
      </w:r>
    </w:p>
    <w:p>
      <w:pPr>
        <w:pStyle w:val="6"/>
        <w:spacing w:line="400" w:lineRule="exact"/>
        <w:ind w:firstLine="48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.3培训要求：质保期内，中标供应商需对采购人安排的具备资格人员进行现场培训，直至可独立操作为止。</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4</w:t>
      </w:r>
      <w:r>
        <w:rPr>
          <w:rFonts w:hint="eastAsia" w:ascii="宋体" w:hAnsi="宋体" w:eastAsia="宋体"/>
          <w:bCs/>
          <w:sz w:val="24"/>
          <w:szCs w:val="24"/>
        </w:rPr>
        <w:t>质保期内，国家级重要考试前一周需开展现场巡检服务，巡检内容包含各设备运行状况、设备保养、系统更新、软件升级，排查设备接口是否松动，线路是否正常等，每次巡检工作完成后的、考试前一天向采购人提交《巡检报告》。</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5</w:t>
      </w:r>
      <w:r>
        <w:rPr>
          <w:rFonts w:hint="eastAsia" w:ascii="宋体" w:hAnsi="宋体" w:eastAsia="宋体"/>
          <w:bCs/>
          <w:sz w:val="24"/>
          <w:szCs w:val="24"/>
        </w:rPr>
        <w:t>质保期内，当采购人有重要活动需要临时应急保障时，能提供每年不少于3次，每次不少于一名技术人员现场保障。</w:t>
      </w:r>
    </w:p>
    <w:p>
      <w:pPr>
        <w:pStyle w:val="6"/>
        <w:spacing w:line="400" w:lineRule="exact"/>
        <w:ind w:firstLine="480"/>
        <w:rPr>
          <w:rFonts w:hint="eastAsia"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 xml:space="preserve">6 </w:t>
      </w:r>
      <w:r>
        <w:rPr>
          <w:rFonts w:hint="eastAsia" w:ascii="宋体" w:hAnsi="宋体" w:eastAsia="宋体"/>
          <w:bCs/>
          <w:sz w:val="24"/>
          <w:szCs w:val="24"/>
        </w:rPr>
        <w:t>质保期内，中标供应商对采购人现有标考设备（非本次采购）提供运维服务，不另行收取服务费用，设备采购、维修及材料费用单独计算。</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5、其他要求</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 xml:space="preserve">.1 </w:t>
      </w:r>
      <w:r>
        <w:rPr>
          <w:rFonts w:hint="eastAsia" w:ascii="宋体" w:hAnsi="宋体" w:eastAsia="宋体" w:cs="宋体"/>
          <w:sz w:val="24"/>
          <w:szCs w:val="24"/>
        </w:rPr>
        <w:t>★</w:t>
      </w:r>
      <w:r>
        <w:rPr>
          <w:rFonts w:hint="eastAsia" w:ascii="宋体" w:hAnsi="宋体" w:eastAsia="宋体"/>
          <w:bCs/>
          <w:sz w:val="24"/>
          <w:szCs w:val="24"/>
        </w:rPr>
        <w:t>供应商需在投标文件里作出关于本项目建设的以下承诺：</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（1）设备接入、平台整合和四川省考试院中心对接过程中的费用包含在本次报价中。</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（2）投标人承诺本次建设后，在采购人未来的标准化考场改建中提供技术援助，协助采购人出具完整的考场系统和设备状态清单、技术参数清单等，费用包含在本次报价中。</w:t>
      </w:r>
    </w:p>
    <w:p>
      <w:pPr>
        <w:pStyle w:val="6"/>
        <w:spacing w:line="400" w:lineRule="exact"/>
        <w:ind w:firstLine="480"/>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.2</w:t>
      </w:r>
      <w:r>
        <w:rPr>
          <w:rFonts w:hint="eastAsia" w:ascii="宋体" w:hAnsi="宋体" w:eastAsia="宋体"/>
          <w:bCs/>
          <w:sz w:val="24"/>
          <w:szCs w:val="24"/>
        </w:rPr>
        <w:t>供应商需为本项目配备团队进行设备安装、售后等服务。团队应具备以下能力：</w:t>
      </w:r>
    </w:p>
    <w:p>
      <w:pPr>
        <w:pStyle w:val="6"/>
        <w:spacing w:after="160" w:line="400" w:lineRule="exact"/>
        <w:ind w:firstLine="480"/>
        <w:rPr>
          <w:rFonts w:hint="eastAsia" w:ascii="宋体" w:hAnsi="宋体" w:eastAsia="宋体"/>
          <w:bCs/>
          <w:sz w:val="24"/>
          <w:szCs w:val="24"/>
        </w:rPr>
      </w:pPr>
      <w:r>
        <w:rPr>
          <w:rFonts w:hint="eastAsia" w:ascii="宋体" w:hAnsi="宋体" w:eastAsia="宋体"/>
          <w:bCs/>
          <w:sz w:val="24"/>
          <w:szCs w:val="24"/>
        </w:rPr>
        <w:t>（1）网络和信息系统安全保障能力，团队成员具备CCRC信息安全保障人员认证证书（安全集成方向）、CISP注册信息安全专业人员认证证书。</w:t>
      </w:r>
    </w:p>
    <w:p>
      <w:pPr>
        <w:pStyle w:val="6"/>
        <w:spacing w:after="160" w:line="400" w:lineRule="exact"/>
        <w:ind w:firstLine="480"/>
        <w:rPr>
          <w:rFonts w:hint="eastAsia" w:ascii="宋体" w:hAnsi="宋体" w:eastAsia="宋体"/>
          <w:bCs/>
          <w:sz w:val="24"/>
          <w:szCs w:val="24"/>
        </w:rPr>
      </w:pPr>
      <w:r>
        <w:rPr>
          <w:rFonts w:hint="eastAsia" w:ascii="宋体" w:hAnsi="宋体" w:eastAsia="宋体"/>
          <w:bCs/>
          <w:sz w:val="24"/>
          <w:szCs w:val="24"/>
        </w:rPr>
        <w:t>（2）一般电器安装、网络设备安装、信息系统施工和运维能力，团队成员具有智能化专业、机电工程专业、电气安装专业、电气自动化专业职称证书。</w:t>
      </w:r>
    </w:p>
    <w:p>
      <w:pPr>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（3）系统集成管理和网络集成设计能力，团队成员具有系统集成项目管理工程师或信息系统项目管理师，具有网络工程师或网络规划设计师。</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宋体" w:hAnsi="宋体" w:eastAsia="宋体" w:cs="Times New Roman"/>
          <w:bCs/>
          <w:kern w:val="2"/>
          <w:sz w:val="24"/>
          <w:szCs w:val="24"/>
          <w:highlight w:val="none"/>
          <w:lang w:val="en-US" w:eastAsia="zh-CN" w:bidi="ar-SA"/>
        </w:rPr>
      </w:pPr>
      <w:bookmarkStart w:id="27" w:name="PO_默认文件内容_11"/>
      <w:r>
        <w:rPr>
          <w:rFonts w:hint="eastAsia" w:ascii="宋体" w:hAnsi="宋体" w:eastAsia="宋体" w:cs="Times New Roman"/>
          <w:bCs/>
          <w:kern w:val="2"/>
          <w:sz w:val="24"/>
          <w:szCs w:val="24"/>
          <w:highlight w:val="none"/>
          <w:lang w:val="en-US" w:eastAsia="zh-CN" w:bidi="ar-SA"/>
        </w:rPr>
        <w:t>6、履约保证金收取：本项目收取履约保证金</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en-US" w:eastAsia="zh-CN" w:bidi="ar-SA"/>
        </w:rPr>
        <w:t>收取</w:t>
      </w:r>
      <w:r>
        <w:rPr>
          <w:rFonts w:hint="eastAsia" w:ascii="宋体" w:hAnsi="宋体" w:eastAsia="宋体" w:cs="Times New Roman"/>
          <w:bCs/>
          <w:kern w:val="2"/>
          <w:sz w:val="24"/>
          <w:szCs w:val="24"/>
          <w:highlight w:val="none"/>
          <w:lang w:val="zh-CN" w:eastAsia="zh-CN" w:bidi="ar-SA"/>
        </w:rPr>
        <w:t>金额：采购合同金额的5%。</w:t>
      </w:r>
    </w:p>
    <w:p>
      <w:pPr>
        <w:pStyle w:val="41"/>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交款方式：履约保证金可以以支票、汇票、本票或者金融机构、担保机构出具的保函等非现金形式提交（包括网银转账，电汇等方式）。</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收款单位：四川铁道职业学院</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开 户 行：建设银行郫都支行</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银行账号：51001597208051513002</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交款时间：在合同签订后5个工作日内。</w:t>
      </w:r>
      <w:bookmarkEnd w:id="27"/>
      <w:bookmarkStart w:id="35" w:name="_GoBack"/>
      <w:bookmarkEnd w:id="35"/>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履约保证金退还方式：以转账方式退回全部无息履约保证金。</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履约保证金退还时间：项目验收通过，且顺利保障2024年单独招生考试和专升本考试在收到供应商的退款财务凭证后10个工作日内。</w:t>
      </w:r>
    </w:p>
    <w:p>
      <w:pPr>
        <w:pStyle w:val="41"/>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zh-CN" w:eastAsia="zh-CN" w:bidi="ar-SA"/>
        </w:rPr>
      </w:pPr>
      <w:r>
        <w:rPr>
          <w:rFonts w:hint="eastAsia" w:ascii="宋体" w:hAnsi="宋体" w:eastAsia="宋体" w:cs="Times New Roman"/>
          <w:bCs/>
          <w:kern w:val="2"/>
          <w:sz w:val="24"/>
          <w:szCs w:val="24"/>
          <w:highlight w:val="none"/>
          <w:lang w:val="zh-CN" w:eastAsia="zh-CN" w:bidi="ar-SA"/>
        </w:rPr>
        <w:t>履约保证金不予退还情形：验收不通过及招标文件约定不予退还情形。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zh-CN" w:eastAsia="zh-CN" w:bidi="ar-SA"/>
        </w:rPr>
        <w:t>履约保证金不予退还的，将按照有关规定上缴国库。逾期退还履约保证金的，将依法承担法律责任，并赔偿供应商损失。</w:t>
      </w:r>
    </w:p>
    <w:p>
      <w:pPr>
        <w:spacing w:line="360" w:lineRule="auto"/>
        <w:ind w:firstLine="480" w:firstLineChars="200"/>
        <w:rPr>
          <w:rFonts w:hint="eastAsia" w:ascii="宋体" w:hAnsi="宋体" w:eastAsia="宋体"/>
          <w:bCs/>
          <w:sz w:val="24"/>
          <w:szCs w:val="24"/>
          <w:highlight w:val="cyan"/>
        </w:rPr>
      </w:pPr>
    </w:p>
    <w:p>
      <w:pPr>
        <w:spacing w:line="360" w:lineRule="auto"/>
        <w:ind w:firstLine="480" w:firstLineChars="200"/>
        <w:rPr>
          <w:rFonts w:hint="eastAsia" w:ascii="宋体" w:hAnsi="宋体" w:eastAsia="宋体"/>
          <w:sz w:val="24"/>
          <w:szCs w:val="24"/>
          <w:lang w:val="zh-CN"/>
        </w:rPr>
      </w:pPr>
    </w:p>
    <w:p>
      <w:pPr>
        <w:spacing w:line="360" w:lineRule="auto"/>
        <w:ind w:firstLine="480" w:firstLineChars="200"/>
        <w:rPr>
          <w:rFonts w:ascii="宋体" w:hAnsi="宋体" w:eastAsia="宋体"/>
          <w:sz w:val="24"/>
          <w:szCs w:val="24"/>
        </w:rPr>
      </w:pPr>
      <w:r>
        <w:rPr>
          <w:rFonts w:ascii="宋体" w:hAnsi="宋体" w:eastAsia="宋体"/>
          <w:sz w:val="24"/>
          <w:szCs w:val="24"/>
        </w:rPr>
        <w:br w:type="page"/>
      </w: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b/>
          <w:sz w:val="28"/>
          <w:szCs w:val="28"/>
        </w:rPr>
      </w:pPr>
      <w:r>
        <w:rPr>
          <w:rFonts w:hint="eastAsia" w:ascii="宋体" w:hAnsi="宋体" w:eastAsia="宋体"/>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8"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b/>
          <w:sz w:val="28"/>
          <w:szCs w:val="28"/>
        </w:rPr>
      </w:pPr>
      <w:r>
        <w:rPr>
          <w:rFonts w:hint="eastAsia" w:ascii="宋体" w:hAnsi="宋体" w:eastAsia="宋体"/>
          <w:b/>
          <w:sz w:val="28"/>
          <w:szCs w:val="28"/>
        </w:rPr>
        <w:t>二、比选评审</w:t>
      </w:r>
      <w:bookmarkEnd w:id="28"/>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9"/>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09"/>
        <w:gridCol w:w="787"/>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209" w:type="dxa"/>
            <w:noWrap w:val="0"/>
            <w:vAlign w:val="top"/>
          </w:tcPr>
          <w:p>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报价</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0%（主要评分因素）</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highlight w:val="none"/>
                <w:lang w:val="en-US" w:eastAsia="zh-CN"/>
              </w:rPr>
              <w:t>50</w:t>
            </w:r>
            <w:r>
              <w:rPr>
                <w:rFonts w:hint="eastAsia" w:ascii="宋体" w:hAnsi="宋体" w:eastAsia="宋体" w:cs="Times New Roman"/>
                <w:sz w:val="24"/>
                <w:szCs w:val="24"/>
                <w:highlight w:val="none"/>
              </w:rPr>
              <w:t>分</w:t>
            </w:r>
          </w:p>
        </w:tc>
        <w:tc>
          <w:tcPr>
            <w:tcW w:w="7063"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满足招标文件要求且投标价格最低的报价为基准价，其价格分为满分。其他供应商的价格分统一按照下列公式计算：报价得分=(基准价／报价)*</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209"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技术参</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数要求</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20分</w:t>
            </w:r>
          </w:p>
        </w:tc>
        <w:tc>
          <w:tcPr>
            <w:tcW w:w="7063" w:type="dxa"/>
            <w:noWrap w:val="0"/>
            <w:vAlign w:val="center"/>
          </w:tcPr>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投标产品的技术参数完全满足招标文件 “技术参数要求”，没有负偏离的得满分；存在负偏离的，按以下规则计分：</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1、针对一般参数条款（非“★”及“▲”条款），每存在一项负偏离的扣1分，扣完为止，总计10分；（共10项）</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2、针对标“▲”的条款，每存在一项负偏离的扣2分，总计10分。（共5项）。</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注：</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1、标“★”实质性要求不纳入本项评审。</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2、针对招标文件“技术参数要求”中标注“▲”的条款要求需提供国家认可的认证（检测）机构出具的检测报告复印件并加盖投标人公章。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209"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投标人业绩情况</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分</w:t>
            </w:r>
          </w:p>
        </w:tc>
        <w:tc>
          <w:tcPr>
            <w:tcW w:w="7063" w:type="dxa"/>
            <w:noWrap w:val="0"/>
            <w:vAlign w:val="center"/>
          </w:tcPr>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投标人自2021年1月1日（含）至投标截止日（以签订合同时间为准），具有类似项目业绩合同的，每有一份的得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分，最多得</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分。</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注：需提供合同复印件</w:t>
            </w:r>
            <w:r>
              <w:rPr>
                <w:rFonts w:hint="eastAsia" w:ascii="宋体" w:hAnsi="宋体" w:cs="Times New Roman"/>
                <w:sz w:val="24"/>
                <w:szCs w:val="24"/>
                <w:lang w:eastAsia="zh-CN"/>
              </w:rPr>
              <w:t>并加盖公章</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1209"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项目实施和服务能力</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分</w:t>
            </w:r>
          </w:p>
        </w:tc>
        <w:tc>
          <w:tcPr>
            <w:tcW w:w="7063" w:type="dxa"/>
            <w:noWrap w:val="0"/>
            <w:vAlign w:val="center"/>
          </w:tcPr>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投标人针对本项目设置的成员具有以下证书的，取得相应得分，同一证书多人取得了，不重复得分。本项所有证书持有人均要求提供在职证明材料。</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1、成员具备CCRC信息安全保障人员认证证书（安全集成方向）、CISP注册信息安全专业人员认证证书，每项得1分。本小项最高得2分。</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2、成员具有智能化专业、机电工程专业、电气安装专业、电气自动化专业职称证书，每项</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分，共</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分。本小项最高得</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分。</w:t>
            </w:r>
          </w:p>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3、成员具有系统集成项目管理工程师或信息系统项目管理师得1分，具有网络工程师或网络规划设计师的得1分。本小项最高得2分。</w:t>
            </w:r>
          </w:p>
          <w:p>
            <w:pPr>
              <w:spacing w:line="360" w:lineRule="auto"/>
              <w:ind w:firstLine="470" w:firstLineChars="196"/>
              <w:rPr>
                <w:rFonts w:hint="eastAsia" w:ascii="宋体" w:hAnsi="宋体" w:eastAsia="宋体" w:cs="Times New Roman"/>
                <w:sz w:val="24"/>
                <w:szCs w:val="24"/>
                <w:lang w:eastAsia="zh-CN"/>
              </w:rPr>
            </w:pPr>
            <w:r>
              <w:rPr>
                <w:rFonts w:hint="eastAsia" w:ascii="宋体" w:hAnsi="宋体" w:cs="Times New Roman"/>
                <w:sz w:val="24"/>
                <w:szCs w:val="24"/>
                <w:lang w:eastAsia="zh-CN"/>
              </w:rPr>
              <w:t>注：提供证书复印件并加盖公章。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209"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售后服</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务保障</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分</w:t>
            </w:r>
          </w:p>
        </w:tc>
        <w:tc>
          <w:tcPr>
            <w:tcW w:w="7063" w:type="dxa"/>
            <w:noWrap w:val="0"/>
            <w:vAlign w:val="center"/>
          </w:tcPr>
          <w:p>
            <w:pPr>
              <w:spacing w:line="360" w:lineRule="auto"/>
              <w:ind w:firstLine="470" w:firstLineChars="196"/>
              <w:rPr>
                <w:rFonts w:hint="eastAsia" w:ascii="宋体" w:hAnsi="宋体" w:eastAsia="宋体" w:cs="Times New Roman"/>
                <w:sz w:val="24"/>
                <w:szCs w:val="24"/>
              </w:rPr>
            </w:pPr>
            <w:r>
              <w:rPr>
                <w:rFonts w:hint="eastAsia" w:ascii="宋体" w:hAnsi="宋体" w:eastAsia="宋体" w:cs="Times New Roman"/>
                <w:sz w:val="24"/>
                <w:szCs w:val="24"/>
              </w:rPr>
              <w:t>投标人需提供售后服务方案，方案内容包括：①产品质保措施②培训方案③人员保障④现场巡检措施⑤应急预案，以上内容完整得</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分，每缺少一项内容扣</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分，每存在一处缺陷扣</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分，每项内容最多扣</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缺陷是指存在项目名称错误、地点区域错误、内容与本项目需求无关、方案内容矛盾或表述前后不一致、仅有框架或标题、适用的标准（方法）错误、明显复制其他项目内容等任意一种情形。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1209"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设备安</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装方案</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5分</w:t>
            </w:r>
          </w:p>
        </w:tc>
        <w:tc>
          <w:tcPr>
            <w:tcW w:w="7063"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投标人需提供设备安装方案，方案内容包括：①设备组织②现场管理③进度计划④部署安装与质量控制⑤安全控制，以上内容完整得5分，每缺少一项内容扣1分，每存在一处缺陷扣0.5分，每项内容最多扣1分。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缺陷是指存在项目名称错误、地点区域错误、内容与本项目需求无关、方案内容矛盾或表述前后不一致、仅有框架或标题、适用的标准（方法）错误、明显复制其他项目内容等任意一种情形。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1209" w:type="dxa"/>
            <w:noWrap w:val="0"/>
            <w:vAlign w:val="center"/>
          </w:tcPr>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文件规</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范性</w:t>
            </w:r>
          </w:p>
        </w:tc>
        <w:tc>
          <w:tcPr>
            <w:tcW w:w="787" w:type="dxa"/>
            <w:noWrap w:val="0"/>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1分</w:t>
            </w:r>
          </w:p>
        </w:tc>
        <w:tc>
          <w:tcPr>
            <w:tcW w:w="7063" w:type="dxa"/>
            <w:noWrap w:val="0"/>
            <w:vAlign w:val="center"/>
          </w:tcPr>
          <w:p>
            <w:pPr>
              <w:spacing w:line="360" w:lineRule="auto"/>
              <w:rPr>
                <w:rFonts w:hint="eastAsia" w:ascii="宋体" w:hAnsi="宋体" w:eastAsia="宋体" w:cs="Times New Roman"/>
                <w:sz w:val="24"/>
                <w:szCs w:val="24"/>
                <w:highlight w:val="yellow"/>
              </w:rPr>
            </w:pPr>
            <w:r>
              <w:rPr>
                <w:rFonts w:ascii="宋体" w:hAnsi="宋体" w:eastAsia="宋体" w:cs="宋体"/>
                <w:sz w:val="24"/>
                <w:szCs w:val="24"/>
              </w:rPr>
              <w:t>投标文件制作规范，没有细微偏差情形的得1分；有一项细微偏差扣0.5分，直至该项分值扣完为止。</w:t>
            </w:r>
          </w:p>
        </w:tc>
      </w:tr>
    </w:tbl>
    <w:p>
      <w:pPr>
        <w:spacing w:line="360" w:lineRule="auto"/>
        <w:ind w:firstLine="470" w:firstLineChars="196"/>
        <w:rPr>
          <w:rFonts w:hint="eastAsia" w:ascii="宋体" w:hAnsi="宋体" w:eastAsia="宋体" w:cs="Times New Roman"/>
          <w:sz w:val="24"/>
          <w:szCs w:val="24"/>
          <w:lang w:val="zh-TW" w:eastAsia="zh-TW"/>
        </w:rPr>
      </w:pPr>
    </w:p>
    <w:p>
      <w:pPr>
        <w:spacing w:line="360" w:lineRule="auto"/>
        <w:ind w:firstLine="470" w:firstLineChars="196"/>
        <w:rPr>
          <w:rFonts w:hint="eastAsia" w:ascii="宋体" w:hAnsi="宋体" w:eastAsia="宋体"/>
          <w:color w:val="000000"/>
          <w:sz w:val="36"/>
          <w:szCs w:val="36"/>
        </w:rPr>
      </w:pPr>
      <w:r>
        <w:rPr>
          <w:rFonts w:hint="eastAsia" w:ascii="宋体" w:hAnsi="宋体" w:eastAsia="宋体" w:cs="Times New Roman"/>
          <w:sz w:val="24"/>
          <w:szCs w:val="24"/>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b/>
          <w:sz w:val="36"/>
        </w:rPr>
      </w:pPr>
      <w:r>
        <w:rPr>
          <w:rFonts w:ascii="宋体" w:hAnsi="宋体" w:eastAsia="宋体"/>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b/>
          <w:sz w:val="32"/>
          <w:u w:val="single"/>
        </w:rPr>
      </w:pPr>
      <w:r>
        <w:rPr>
          <w:rFonts w:hint="eastAsia" w:ascii="宋体" w:hAnsi="宋体" w:eastAsia="宋体"/>
          <w:b/>
          <w:sz w:val="32"/>
        </w:rPr>
        <w:t>申请人</w:t>
      </w:r>
      <w:r>
        <w:rPr>
          <w:rFonts w:ascii="宋体" w:hAnsi="宋体" w:eastAsia="宋体"/>
          <w:b/>
          <w:sz w:val="32"/>
        </w:rPr>
        <w:t>名称：</w:t>
      </w:r>
    </w:p>
    <w:p>
      <w:pPr>
        <w:spacing w:line="360" w:lineRule="auto"/>
        <w:ind w:firstLine="643" w:firstLineChars="200"/>
        <w:jc w:val="left"/>
        <w:rPr>
          <w:rFonts w:ascii="宋体" w:hAnsi="宋体" w:eastAsia="宋体"/>
          <w:b/>
          <w:sz w:val="32"/>
        </w:rPr>
      </w:pPr>
      <w:r>
        <w:rPr>
          <w:rFonts w:hint="eastAsia" w:ascii="宋体" w:hAnsi="宋体" w:eastAsia="宋体"/>
          <w:b/>
          <w:sz w:val="32"/>
        </w:rPr>
        <w:t>项目</w:t>
      </w:r>
      <w:r>
        <w:rPr>
          <w:rFonts w:ascii="宋体" w:hAnsi="宋体" w:eastAsia="宋体"/>
          <w:b/>
          <w:sz w:val="32"/>
        </w:rPr>
        <w:t>编号：</w:t>
      </w:r>
    </w:p>
    <w:p>
      <w:pPr>
        <w:pStyle w:val="8"/>
        <w:ind w:firstLine="643" w:firstLineChars="200"/>
        <w:rPr>
          <w:rFonts w:ascii="宋体" w:hAnsi="宋体" w:eastAsia="宋体"/>
        </w:rPr>
      </w:pPr>
      <w:r>
        <w:rPr>
          <w:rFonts w:hint="eastAsia" w:ascii="宋体" w:hAnsi="宋体" w:eastAsia="宋体"/>
          <w:b/>
          <w:sz w:val="32"/>
        </w:rPr>
        <w:t>包号：（若有）</w:t>
      </w:r>
    </w:p>
    <w:p>
      <w:pPr>
        <w:jc w:val="center"/>
        <w:rPr>
          <w:rFonts w:ascii="宋体" w:hAnsi="宋体" w:eastAsia="宋体"/>
          <w:b/>
          <w:sz w:val="36"/>
        </w:rPr>
      </w:pPr>
    </w:p>
    <w:p>
      <w:pPr>
        <w:jc w:val="center"/>
        <w:rPr>
          <w:rFonts w:ascii="宋体" w:hAnsi="宋体" w:eastAsia="宋体"/>
          <w:b/>
          <w:sz w:val="32"/>
          <w:szCs w:val="32"/>
        </w:rPr>
      </w:pPr>
    </w:p>
    <w:p>
      <w:pPr>
        <w:jc w:val="center"/>
        <w:rPr>
          <w:rFonts w:ascii="宋体" w:hAnsi="宋体" w:eastAsia="宋体"/>
          <w:b/>
          <w:sz w:val="36"/>
        </w:rPr>
      </w:pPr>
    </w:p>
    <w:p>
      <w:pPr>
        <w:jc w:val="center"/>
        <w:rPr>
          <w:rFonts w:ascii="宋体" w:hAnsi="宋体" w:eastAsia="宋体"/>
          <w:b/>
          <w:sz w:val="36"/>
        </w:rPr>
      </w:pPr>
    </w:p>
    <w:p>
      <w:pPr>
        <w:spacing w:line="440" w:lineRule="exact"/>
        <w:jc w:val="center"/>
        <w:rPr>
          <w:rFonts w:ascii="宋体" w:hAnsi="宋体" w:eastAsia="宋体"/>
          <w:b/>
          <w:sz w:val="36"/>
        </w:rPr>
      </w:pPr>
    </w:p>
    <w:p>
      <w:pPr>
        <w:jc w:val="center"/>
        <w:rPr>
          <w:rFonts w:ascii="宋体" w:hAnsi="宋体" w:eastAsia="宋体" w:cs="Arial"/>
          <w:b/>
          <w:bCs/>
          <w:sz w:val="32"/>
          <w:szCs w:val="32"/>
        </w:rPr>
      </w:pPr>
      <w:r>
        <w:rPr>
          <w:rFonts w:ascii="宋体" w:hAnsi="宋体" w:eastAsia="宋体"/>
          <w:b/>
          <w:sz w:val="32"/>
        </w:rPr>
        <w:t>日期：</w:t>
      </w:r>
      <w:r>
        <w:rPr>
          <w:rFonts w:hint="eastAsia" w:ascii="宋体" w:hAnsi="宋体" w:eastAsia="宋体"/>
          <w:b/>
          <w:sz w:val="32"/>
        </w:rPr>
        <w:t>XX年XX</w:t>
      </w:r>
      <w:r>
        <w:rPr>
          <w:rFonts w:ascii="宋体" w:hAnsi="宋体" w:eastAsia="宋体"/>
          <w:b/>
          <w:sz w:val="32"/>
        </w:rPr>
        <w:t>月</w:t>
      </w:r>
      <w:r>
        <w:rPr>
          <w:rFonts w:hint="eastAsia" w:ascii="宋体" w:hAnsi="宋体" w:eastAsia="宋体"/>
          <w:b/>
          <w:sz w:val="32"/>
        </w:rPr>
        <w:t>XX</w:t>
      </w:r>
      <w:r>
        <w:rPr>
          <w:rFonts w:ascii="宋体" w:hAnsi="宋体" w:eastAsia="宋体"/>
          <w:b/>
          <w:sz w:val="32"/>
        </w:rPr>
        <w:t>日</w:t>
      </w:r>
    </w:p>
    <w:p>
      <w:pPr>
        <w:pStyle w:val="3"/>
        <w:spacing w:line="400" w:lineRule="exact"/>
        <w:jc w:val="center"/>
        <w:rPr>
          <w:rFonts w:ascii="宋体" w:hAnsi="宋体" w:eastAsia="宋体"/>
          <w:sz w:val="32"/>
        </w:rPr>
      </w:pPr>
      <w:bookmarkStart w:id="29" w:name="_Toc217446082"/>
      <w:r>
        <w:rPr>
          <w:rFonts w:hint="eastAsia" w:ascii="宋体" w:hAnsi="宋体" w:eastAsia="宋体"/>
          <w:sz w:val="32"/>
        </w:rPr>
        <w:t>一、</w:t>
      </w:r>
      <w:bookmarkEnd w:id="29"/>
      <w:r>
        <w:rPr>
          <w:rFonts w:hint="eastAsia" w:ascii="宋体" w:hAnsi="宋体" w:eastAsia="宋体"/>
          <w:sz w:val="32"/>
        </w:rPr>
        <w:t>申请函</w:t>
      </w:r>
    </w:p>
    <w:p>
      <w:pPr>
        <w:pStyle w:val="11"/>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1"/>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1"/>
        <w:spacing w:line="400" w:lineRule="exact"/>
        <w:ind w:firstLine="0"/>
        <w:rPr>
          <w:rFonts w:ascii="宋体" w:hAnsi="宋体" w:eastAsia="宋体"/>
          <w:bCs/>
          <w:sz w:val="24"/>
          <w:szCs w:val="24"/>
        </w:rPr>
      </w:pPr>
    </w:p>
    <w:p>
      <w:pPr>
        <w:pStyle w:val="11"/>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1"/>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wrap="square"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S+gW2AAA&#10;AAoBAAAPAAAAAAAAAAEAIAAAACIAAABkcnMvZG93bnJldi54bWxQSwECFAAUAAAACACHTuJAIVym&#10;mh4CAABUBAAADgAAAAAAAAABACAAAAAnAQAAZHJzL2Uyb0RvYy54bWxQSwUGAAAAAAYABgBZAQAA&#10;twU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wrap="square"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c0ci1wAA&#10;AAkBAAAPAAAAAAAAAAEAIAAAACIAAABkcnMvZG93bnJldi54bWxQSwECFAAUAAAACACHTuJA8sYP&#10;Ex8CAABUBAAADgAAAAAAAAABACAAAAAmAQAAZHJzL2Uyb0RvYy54bWxQSwUGAAAAAAYABgBZAQAA&#10;twU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72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8"/>
      <w:r>
        <w:rPr>
          <w:rFonts w:hint="eastAsia" w:ascii="宋体" w:hAnsi="宋体" w:eastAsia="宋体"/>
          <w:sz w:val="32"/>
        </w:rPr>
        <w:t>四、申请人基本情况表</w:t>
      </w:r>
      <w:bookmarkEnd w:id="30"/>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noWrap w:val="0"/>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noWrap w:val="0"/>
            <w:vAlign w:val="center"/>
          </w:tcPr>
          <w:p>
            <w:pPr>
              <w:autoSpaceDE w:val="0"/>
              <w:autoSpaceDN w:val="0"/>
              <w:adjustRightInd w:val="0"/>
              <w:jc w:val="center"/>
              <w:rPr>
                <w:rFonts w:ascii="宋体" w:hAnsi="宋体" w:eastAsia="宋体"/>
                <w:szCs w:val="21"/>
              </w:rPr>
            </w:pPr>
          </w:p>
        </w:tc>
        <w:tc>
          <w:tcPr>
            <w:tcW w:w="1325"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noWrap w:val="0"/>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noWrap w:val="0"/>
            <w:vAlign w:val="center"/>
          </w:tcPr>
          <w:p>
            <w:pPr>
              <w:autoSpaceDE w:val="0"/>
              <w:autoSpaceDN w:val="0"/>
              <w:adjustRightInd w:val="0"/>
              <w:jc w:val="center"/>
              <w:rPr>
                <w:rFonts w:ascii="宋体" w:hAnsi="宋体" w:eastAsia="宋体"/>
                <w:szCs w:val="21"/>
              </w:rPr>
            </w:pPr>
          </w:p>
        </w:tc>
        <w:tc>
          <w:tcPr>
            <w:tcW w:w="1332"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noWrap w:val="0"/>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noWrap w:val="0"/>
            <w:vAlign w:val="center"/>
          </w:tcPr>
          <w:p>
            <w:pPr>
              <w:autoSpaceDE w:val="0"/>
              <w:autoSpaceDN w:val="0"/>
              <w:adjustRightInd w:val="0"/>
              <w:jc w:val="center"/>
              <w:rPr>
                <w:rFonts w:ascii="宋体" w:hAnsi="宋体" w:eastAsia="宋体"/>
                <w:szCs w:val="21"/>
              </w:rPr>
            </w:pPr>
          </w:p>
        </w:tc>
        <w:tc>
          <w:tcPr>
            <w:tcW w:w="925"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noWrap w:val="0"/>
            <w:vAlign w:val="center"/>
          </w:tcPr>
          <w:p>
            <w:pPr>
              <w:autoSpaceDE w:val="0"/>
              <w:autoSpaceDN w:val="0"/>
              <w:adjustRightInd w:val="0"/>
              <w:jc w:val="center"/>
              <w:rPr>
                <w:rFonts w:ascii="宋体" w:hAnsi="宋体" w:eastAsia="宋体"/>
                <w:szCs w:val="21"/>
              </w:rPr>
            </w:pPr>
          </w:p>
        </w:tc>
        <w:tc>
          <w:tcPr>
            <w:tcW w:w="1332"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noWrap w:val="0"/>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noWrap w:val="0"/>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noWrap w:val="0"/>
            <w:vAlign w:val="center"/>
          </w:tcPr>
          <w:p>
            <w:pPr>
              <w:autoSpaceDE w:val="0"/>
              <w:autoSpaceDN w:val="0"/>
              <w:adjustRightInd w:val="0"/>
              <w:jc w:val="center"/>
              <w:rPr>
                <w:rFonts w:ascii="宋体" w:hAnsi="宋体" w:eastAsia="宋体"/>
                <w:szCs w:val="21"/>
              </w:rPr>
            </w:pPr>
          </w:p>
        </w:tc>
        <w:tc>
          <w:tcPr>
            <w:tcW w:w="1255"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noWrap w:val="0"/>
            <w:vAlign w:val="center"/>
          </w:tcPr>
          <w:p>
            <w:pPr>
              <w:autoSpaceDE w:val="0"/>
              <w:autoSpaceDN w:val="0"/>
              <w:adjustRightInd w:val="0"/>
              <w:jc w:val="center"/>
              <w:rPr>
                <w:rFonts w:ascii="宋体" w:hAnsi="宋体" w:eastAsia="宋体"/>
                <w:szCs w:val="21"/>
              </w:rPr>
            </w:pPr>
          </w:p>
        </w:tc>
        <w:tc>
          <w:tcPr>
            <w:tcW w:w="1178"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noWrap w:val="0"/>
            <w:vAlign w:val="center"/>
          </w:tcPr>
          <w:p>
            <w:pPr>
              <w:autoSpaceDE w:val="0"/>
              <w:autoSpaceDN w:val="0"/>
              <w:adjustRightInd w:val="0"/>
              <w:jc w:val="center"/>
              <w:rPr>
                <w:rFonts w:ascii="宋体" w:hAnsi="宋体" w:eastAsia="宋体"/>
                <w:szCs w:val="21"/>
              </w:rPr>
            </w:pPr>
          </w:p>
        </w:tc>
        <w:tc>
          <w:tcPr>
            <w:tcW w:w="1255"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noWrap w:val="0"/>
            <w:vAlign w:val="center"/>
          </w:tcPr>
          <w:p>
            <w:pPr>
              <w:autoSpaceDE w:val="0"/>
              <w:autoSpaceDN w:val="0"/>
              <w:adjustRightInd w:val="0"/>
              <w:jc w:val="center"/>
              <w:rPr>
                <w:rFonts w:ascii="宋体" w:hAnsi="宋体" w:eastAsia="宋体"/>
                <w:szCs w:val="21"/>
              </w:rPr>
            </w:pPr>
          </w:p>
        </w:tc>
        <w:tc>
          <w:tcPr>
            <w:tcW w:w="1178" w:type="dxa"/>
            <w:gridSpan w:val="2"/>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4841" w:type="dxa"/>
            <w:gridSpan w:val="6"/>
            <w:noWrap w:val="0"/>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1255" w:type="dxa"/>
            <w:vMerge w:val="restart"/>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1255" w:type="dxa"/>
            <w:vMerge w:val="continue"/>
            <w:noWrap w:val="0"/>
            <w:vAlign w:val="center"/>
          </w:tcPr>
          <w:p>
            <w:pPr>
              <w:autoSpaceDE w:val="0"/>
              <w:autoSpaceDN w:val="0"/>
              <w:adjustRightInd w:val="0"/>
              <w:jc w:val="center"/>
              <w:rPr>
                <w:rFonts w:ascii="宋体" w:hAnsi="宋体" w:eastAsia="宋体"/>
                <w:szCs w:val="21"/>
              </w:rPr>
            </w:pPr>
          </w:p>
        </w:tc>
        <w:tc>
          <w:tcPr>
            <w:tcW w:w="1493" w:type="dxa"/>
            <w:gridSpan w:val="3"/>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1255" w:type="dxa"/>
            <w:vMerge w:val="continue"/>
            <w:noWrap w:val="0"/>
            <w:vAlign w:val="center"/>
          </w:tcPr>
          <w:p>
            <w:pPr>
              <w:autoSpaceDE w:val="0"/>
              <w:autoSpaceDN w:val="0"/>
              <w:adjustRightInd w:val="0"/>
              <w:jc w:val="center"/>
              <w:rPr>
                <w:rFonts w:ascii="宋体" w:hAnsi="宋体" w:eastAsia="宋体"/>
                <w:szCs w:val="21"/>
              </w:rPr>
            </w:pPr>
          </w:p>
        </w:tc>
        <w:tc>
          <w:tcPr>
            <w:tcW w:w="1493" w:type="dxa"/>
            <w:gridSpan w:val="3"/>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1255" w:type="dxa"/>
            <w:vMerge w:val="continue"/>
            <w:noWrap w:val="0"/>
            <w:vAlign w:val="center"/>
          </w:tcPr>
          <w:p>
            <w:pPr>
              <w:autoSpaceDE w:val="0"/>
              <w:autoSpaceDN w:val="0"/>
              <w:adjustRightInd w:val="0"/>
              <w:jc w:val="center"/>
              <w:rPr>
                <w:rFonts w:ascii="宋体" w:hAnsi="宋体" w:eastAsia="宋体"/>
                <w:szCs w:val="21"/>
              </w:rPr>
            </w:pPr>
          </w:p>
        </w:tc>
        <w:tc>
          <w:tcPr>
            <w:tcW w:w="1493" w:type="dxa"/>
            <w:gridSpan w:val="3"/>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noWrap w:val="0"/>
            <w:vAlign w:val="center"/>
          </w:tcPr>
          <w:p>
            <w:pPr>
              <w:autoSpaceDE w:val="0"/>
              <w:autoSpaceDN w:val="0"/>
              <w:adjustRightInd w:val="0"/>
              <w:jc w:val="center"/>
              <w:rPr>
                <w:rFonts w:ascii="宋体" w:hAnsi="宋体" w:eastAsia="宋体"/>
                <w:szCs w:val="21"/>
              </w:rPr>
            </w:pPr>
          </w:p>
        </w:tc>
        <w:tc>
          <w:tcPr>
            <w:tcW w:w="1255" w:type="dxa"/>
            <w:vMerge w:val="continue"/>
            <w:noWrap w:val="0"/>
            <w:vAlign w:val="center"/>
          </w:tcPr>
          <w:p>
            <w:pPr>
              <w:autoSpaceDE w:val="0"/>
              <w:autoSpaceDN w:val="0"/>
              <w:adjustRightInd w:val="0"/>
              <w:jc w:val="center"/>
              <w:rPr>
                <w:rFonts w:ascii="宋体" w:hAnsi="宋体" w:eastAsia="宋体"/>
                <w:szCs w:val="21"/>
              </w:rPr>
            </w:pPr>
          </w:p>
        </w:tc>
        <w:tc>
          <w:tcPr>
            <w:tcW w:w="1493" w:type="dxa"/>
            <w:gridSpan w:val="3"/>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noWrap w:val="0"/>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noWrap w:val="0"/>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noWrap w:val="0"/>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noWrap w:val="0"/>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1" w:name="_Toc217446089"/>
      <w:r>
        <w:rPr>
          <w:rFonts w:hint="eastAsia" w:ascii="宋体" w:hAnsi="宋体" w:eastAsia="宋体"/>
          <w:sz w:val="32"/>
        </w:rPr>
        <w:t>五、申请人类似项目业绩一览表</w:t>
      </w:r>
      <w:bookmarkEnd w:id="31"/>
    </w:p>
    <w:p>
      <w:pPr>
        <w:spacing w:line="400" w:lineRule="exact"/>
        <w:rPr>
          <w:rFonts w:ascii="宋体" w:hAnsi="宋体" w:eastAsia="宋体" w:cs="Arial"/>
          <w:sz w:val="24"/>
        </w:rPr>
      </w:pPr>
    </w:p>
    <w:tbl>
      <w:tblPr>
        <w:tblStyle w:val="19"/>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noWrap w:val="0"/>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noWrap w:val="0"/>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noWrap w:val="0"/>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noWrap w:val="0"/>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noWrap w:val="0"/>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noWrap w:val="0"/>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noWrap w:val="0"/>
            <w:vAlign w:val="center"/>
          </w:tcPr>
          <w:p>
            <w:pPr>
              <w:spacing w:line="400" w:lineRule="exact"/>
              <w:jc w:val="center"/>
              <w:rPr>
                <w:rFonts w:ascii="宋体" w:hAnsi="宋体" w:eastAsia="宋体" w:cs="Arial"/>
              </w:rPr>
            </w:pPr>
          </w:p>
        </w:tc>
        <w:tc>
          <w:tcPr>
            <w:tcW w:w="1541" w:type="dxa"/>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noWrap w:val="0"/>
            <w:vAlign w:val="center"/>
          </w:tcPr>
          <w:p>
            <w:pPr>
              <w:spacing w:line="400" w:lineRule="exact"/>
              <w:jc w:val="center"/>
              <w:rPr>
                <w:rFonts w:ascii="宋体" w:hAnsi="宋体" w:eastAsia="宋体" w:cs="Arial"/>
              </w:rPr>
            </w:pPr>
          </w:p>
        </w:tc>
        <w:tc>
          <w:tcPr>
            <w:tcW w:w="1541" w:type="dxa"/>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noWrap w:val="0"/>
            <w:vAlign w:val="center"/>
          </w:tcPr>
          <w:p>
            <w:pPr>
              <w:spacing w:line="400" w:lineRule="exact"/>
              <w:jc w:val="center"/>
              <w:rPr>
                <w:rFonts w:ascii="宋体" w:hAnsi="宋体" w:eastAsia="宋体" w:cs="Arial"/>
              </w:rPr>
            </w:pPr>
          </w:p>
        </w:tc>
        <w:tc>
          <w:tcPr>
            <w:tcW w:w="1541" w:type="dxa"/>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noWrap w:val="0"/>
            <w:vAlign w:val="center"/>
          </w:tcPr>
          <w:p>
            <w:pPr>
              <w:spacing w:line="400" w:lineRule="exact"/>
              <w:jc w:val="center"/>
              <w:rPr>
                <w:rFonts w:ascii="宋体" w:hAnsi="宋体" w:eastAsia="宋体" w:cs="Arial"/>
              </w:rPr>
            </w:pPr>
          </w:p>
        </w:tc>
        <w:tc>
          <w:tcPr>
            <w:tcW w:w="1681" w:type="dxa"/>
            <w:tcBorders>
              <w:right w:val="single" w:color="auto" w:sz="4" w:space="0"/>
            </w:tcBorders>
            <w:noWrap w:val="0"/>
            <w:vAlign w:val="center"/>
          </w:tcPr>
          <w:p>
            <w:pPr>
              <w:spacing w:line="400" w:lineRule="exact"/>
              <w:jc w:val="center"/>
              <w:rPr>
                <w:rFonts w:ascii="宋体" w:hAnsi="宋体" w:eastAsia="宋体" w:cs="Arial"/>
              </w:rPr>
            </w:pPr>
          </w:p>
        </w:tc>
        <w:tc>
          <w:tcPr>
            <w:tcW w:w="1541" w:type="dxa"/>
            <w:tcBorders>
              <w:left w:val="single" w:color="auto" w:sz="4" w:space="0"/>
            </w:tcBorders>
            <w:noWrap w:val="0"/>
            <w:vAlign w:val="center"/>
          </w:tcPr>
          <w:p>
            <w:pPr>
              <w:spacing w:line="400" w:lineRule="exact"/>
              <w:jc w:val="center"/>
              <w:rPr>
                <w:rFonts w:ascii="宋体" w:hAnsi="宋体" w:eastAsia="宋体" w:cs="Arial"/>
              </w:rPr>
            </w:pPr>
          </w:p>
        </w:tc>
        <w:tc>
          <w:tcPr>
            <w:tcW w:w="1519" w:type="dxa"/>
            <w:noWrap w:val="0"/>
            <w:vAlign w:val="center"/>
          </w:tcPr>
          <w:p>
            <w:pPr>
              <w:spacing w:line="400" w:lineRule="exact"/>
              <w:jc w:val="center"/>
              <w:rPr>
                <w:rFonts w:ascii="宋体" w:hAnsi="宋体" w:eastAsia="宋体" w:cs="Arial"/>
              </w:rPr>
            </w:pPr>
          </w:p>
        </w:tc>
        <w:tc>
          <w:tcPr>
            <w:tcW w:w="1559" w:type="dxa"/>
            <w:noWrap w:val="0"/>
            <w:vAlign w:val="center"/>
          </w:tcPr>
          <w:p>
            <w:pPr>
              <w:spacing w:line="400" w:lineRule="exact"/>
              <w:jc w:val="center"/>
              <w:rPr>
                <w:rFonts w:ascii="宋体" w:hAnsi="宋体" w:eastAsia="宋体" w:cs="Arial"/>
              </w:rPr>
            </w:pPr>
          </w:p>
        </w:tc>
        <w:tc>
          <w:tcPr>
            <w:tcW w:w="1272" w:type="dxa"/>
            <w:tcBorders>
              <w:left w:val="single" w:color="auto" w:sz="4" w:space="0"/>
            </w:tcBorders>
            <w:noWrap w:val="0"/>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noWrap w:val="0"/>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noWrap w:val="0"/>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noWrap w:val="0"/>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spacing w:line="360" w:lineRule="auto"/>
              <w:jc w:val="center"/>
              <w:rPr>
                <w:rFonts w:ascii="宋体" w:hAnsi="宋体" w:eastAsia="宋体" w:cs="仿宋"/>
                <w:sz w:val="21"/>
                <w:szCs w:val="21"/>
              </w:rPr>
            </w:pPr>
          </w:p>
        </w:tc>
        <w:tc>
          <w:tcPr>
            <w:tcW w:w="3180" w:type="dxa"/>
            <w:noWrap w:val="0"/>
            <w:vAlign w:val="center"/>
          </w:tcPr>
          <w:p>
            <w:pPr>
              <w:pStyle w:val="42"/>
              <w:spacing w:line="360" w:lineRule="auto"/>
              <w:jc w:val="center"/>
              <w:rPr>
                <w:rFonts w:ascii="宋体" w:hAnsi="宋体" w:eastAsia="宋体" w:cs="仿宋"/>
                <w:sz w:val="21"/>
                <w:szCs w:val="21"/>
              </w:rPr>
            </w:pPr>
          </w:p>
        </w:tc>
        <w:tc>
          <w:tcPr>
            <w:tcW w:w="2515" w:type="dxa"/>
            <w:noWrap w:val="0"/>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noWrap w:val="0"/>
            <w:vAlign w:val="center"/>
          </w:tcPr>
          <w:p>
            <w:pPr>
              <w:pStyle w:val="42"/>
              <w:jc w:val="center"/>
              <w:rPr>
                <w:rFonts w:ascii="宋体" w:hAnsi="宋体" w:eastAsia="宋体" w:cs="仿宋"/>
                <w:sz w:val="21"/>
                <w:szCs w:val="21"/>
              </w:rPr>
            </w:pPr>
          </w:p>
        </w:tc>
        <w:tc>
          <w:tcPr>
            <w:tcW w:w="2982" w:type="dxa"/>
            <w:noWrap w:val="0"/>
            <w:vAlign w:val="center"/>
          </w:tcPr>
          <w:p>
            <w:pPr>
              <w:pStyle w:val="42"/>
              <w:jc w:val="center"/>
              <w:rPr>
                <w:rFonts w:ascii="宋体" w:hAnsi="宋体" w:eastAsia="宋体" w:cs="仿宋"/>
                <w:sz w:val="21"/>
                <w:szCs w:val="21"/>
              </w:rPr>
            </w:pPr>
          </w:p>
        </w:tc>
        <w:tc>
          <w:tcPr>
            <w:tcW w:w="3180" w:type="dxa"/>
            <w:noWrap w:val="0"/>
            <w:vAlign w:val="center"/>
          </w:tcPr>
          <w:p>
            <w:pPr>
              <w:pStyle w:val="42"/>
              <w:jc w:val="center"/>
              <w:rPr>
                <w:rFonts w:ascii="宋体" w:hAnsi="宋体" w:eastAsia="宋体" w:cs="仿宋"/>
                <w:sz w:val="21"/>
                <w:szCs w:val="21"/>
              </w:rPr>
            </w:pPr>
          </w:p>
        </w:tc>
        <w:tc>
          <w:tcPr>
            <w:tcW w:w="2515" w:type="dxa"/>
            <w:noWrap w:val="0"/>
            <w:vAlign w:val="center"/>
          </w:tcPr>
          <w:p>
            <w:pPr>
              <w:pStyle w:val="42"/>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9"/>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noWrap w:val="0"/>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noWrap w:val="0"/>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noWrap w:val="0"/>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spacing w:line="360" w:lineRule="auto"/>
              <w:jc w:val="center"/>
              <w:rPr>
                <w:rFonts w:ascii="宋体" w:hAnsi="宋体" w:eastAsia="宋体" w:cs="仿宋"/>
                <w:sz w:val="21"/>
                <w:szCs w:val="21"/>
              </w:rPr>
            </w:pPr>
          </w:p>
        </w:tc>
        <w:tc>
          <w:tcPr>
            <w:tcW w:w="2263" w:type="dxa"/>
            <w:noWrap w:val="0"/>
            <w:vAlign w:val="center"/>
          </w:tcPr>
          <w:p>
            <w:pPr>
              <w:pStyle w:val="42"/>
              <w:spacing w:line="360" w:lineRule="auto"/>
              <w:jc w:val="center"/>
              <w:rPr>
                <w:rFonts w:ascii="宋体" w:hAnsi="宋体" w:eastAsia="宋体" w:cs="仿宋"/>
                <w:sz w:val="21"/>
                <w:szCs w:val="21"/>
              </w:rPr>
            </w:pPr>
          </w:p>
        </w:tc>
        <w:tc>
          <w:tcPr>
            <w:tcW w:w="2263" w:type="dxa"/>
            <w:noWrap w:val="0"/>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noWrap w:val="0"/>
            <w:vAlign w:val="center"/>
          </w:tcPr>
          <w:p>
            <w:pPr>
              <w:pStyle w:val="42"/>
              <w:jc w:val="center"/>
              <w:rPr>
                <w:rFonts w:ascii="宋体" w:hAnsi="宋体" w:eastAsia="宋体" w:cs="仿宋"/>
                <w:sz w:val="21"/>
                <w:szCs w:val="21"/>
              </w:rPr>
            </w:pPr>
          </w:p>
        </w:tc>
        <w:tc>
          <w:tcPr>
            <w:tcW w:w="3689"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c>
          <w:tcPr>
            <w:tcW w:w="2263" w:type="dxa"/>
            <w:noWrap w:val="0"/>
            <w:vAlign w:val="center"/>
          </w:tcPr>
          <w:p>
            <w:pPr>
              <w:pStyle w:val="42"/>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color w:val="000000"/>
          <w:sz w:val="36"/>
          <w:szCs w:val="36"/>
        </w:rPr>
      </w:pPr>
      <w:bookmarkStart w:id="32" w:name="_Toc26179"/>
      <w:bookmarkStart w:id="33" w:name="_Toc31585"/>
      <w:bookmarkStart w:id="34" w:name="_Toc13707"/>
      <w:r>
        <w:rPr>
          <w:rFonts w:hint="eastAsia" w:ascii="宋体" w:hAnsi="宋体" w:eastAsia="宋体"/>
          <w:color w:val="000000"/>
          <w:sz w:val="36"/>
          <w:szCs w:val="36"/>
        </w:rPr>
        <w:t>第七章 采购合同条款（草案）</w:t>
      </w:r>
      <w:bookmarkEnd w:id="32"/>
      <w:bookmarkEnd w:id="33"/>
      <w:bookmarkEnd w:id="34"/>
    </w:p>
    <w:sectPr>
      <w:headerReference r:id="rId5" w:type="default"/>
      <w:pgSz w:w="11906" w:h="16838"/>
      <w:pgMar w:top="1701" w:right="1474" w:bottom="1440" w:left="1588"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F0961CA-3024-46F2-802F-C4F6338487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A8246B02-2CF4-45AA-9D36-DA07E51638D4}"/>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3" w:fontKey="{218A8CCC-35D8-47B4-BDCE-0D9B79B49213}"/>
  </w:font>
  <w:font w:name="微软雅黑">
    <w:panose1 w:val="020B0503020204020204"/>
    <w:charset w:val="86"/>
    <w:family w:val="swiss"/>
    <w:pitch w:val="default"/>
    <w:sig w:usb0="80000287" w:usb1="280F3C52" w:usb2="00000016" w:usb3="00000000" w:csb0="0004001F" w:csb1="00000000"/>
    <w:embedRegular r:id="rId4" w:fontKey="{9F2B8E8F-3A97-4007-8353-868C67A01478}"/>
  </w:font>
  <w:font w:name="华文仿宋">
    <w:panose1 w:val="02010600040101010101"/>
    <w:charset w:val="86"/>
    <w:family w:val="auto"/>
    <w:pitch w:val="default"/>
    <w:sig w:usb0="00000287" w:usb1="080F0000" w:usb2="00000000" w:usb3="00000000" w:csb0="0004009F" w:csb1="DFD70000"/>
    <w:embedRegular r:id="rId5" w:fontKey="{A5569B11-9840-41CF-B7F0-5CAF11E48E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114300" distR="114300">
          <wp:extent cx="2018030" cy="469265"/>
          <wp:effectExtent l="0" t="0" r="12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018030" cy="469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drawing>
        <wp:inline distT="0" distB="0" distL="114300" distR="114300">
          <wp:extent cx="2018030" cy="469265"/>
          <wp:effectExtent l="0" t="0" r="127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2018030" cy="469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CF9D1"/>
    <w:multiLevelType w:val="singleLevel"/>
    <w:tmpl w:val="A6ECF9D1"/>
    <w:lvl w:ilvl="0" w:tentative="0">
      <w:start w:val="9"/>
      <w:numFmt w:val="chineseCounting"/>
      <w:suff w:val="nothing"/>
      <w:lvlText w:val="%1、"/>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CD5AE8"/>
    <w:rsid w:val="00004412"/>
    <w:rsid w:val="000432F2"/>
    <w:rsid w:val="00060E70"/>
    <w:rsid w:val="00066413"/>
    <w:rsid w:val="00067298"/>
    <w:rsid w:val="000A3154"/>
    <w:rsid w:val="000B07A6"/>
    <w:rsid w:val="00161120"/>
    <w:rsid w:val="001802E8"/>
    <w:rsid w:val="001D075C"/>
    <w:rsid w:val="001D5AF5"/>
    <w:rsid w:val="0024094B"/>
    <w:rsid w:val="002503E2"/>
    <w:rsid w:val="002623F4"/>
    <w:rsid w:val="002F6A92"/>
    <w:rsid w:val="00324A0A"/>
    <w:rsid w:val="003569BD"/>
    <w:rsid w:val="00357EDC"/>
    <w:rsid w:val="003738CF"/>
    <w:rsid w:val="003834B9"/>
    <w:rsid w:val="003E3E28"/>
    <w:rsid w:val="00401650"/>
    <w:rsid w:val="00417286"/>
    <w:rsid w:val="004318DE"/>
    <w:rsid w:val="00440DEA"/>
    <w:rsid w:val="004419C7"/>
    <w:rsid w:val="004E4695"/>
    <w:rsid w:val="004F5587"/>
    <w:rsid w:val="00505F07"/>
    <w:rsid w:val="00542BBB"/>
    <w:rsid w:val="00563636"/>
    <w:rsid w:val="005A403D"/>
    <w:rsid w:val="0060271B"/>
    <w:rsid w:val="00643ADE"/>
    <w:rsid w:val="006544EC"/>
    <w:rsid w:val="006556EA"/>
    <w:rsid w:val="006B5D0A"/>
    <w:rsid w:val="0070549E"/>
    <w:rsid w:val="00766166"/>
    <w:rsid w:val="007778BD"/>
    <w:rsid w:val="007B6243"/>
    <w:rsid w:val="007E7A49"/>
    <w:rsid w:val="007F0BFD"/>
    <w:rsid w:val="00844285"/>
    <w:rsid w:val="00856815"/>
    <w:rsid w:val="008E5B26"/>
    <w:rsid w:val="00957BCC"/>
    <w:rsid w:val="009B7C41"/>
    <w:rsid w:val="009C06CF"/>
    <w:rsid w:val="009C3D5D"/>
    <w:rsid w:val="009D176B"/>
    <w:rsid w:val="009D7F66"/>
    <w:rsid w:val="00A00917"/>
    <w:rsid w:val="00A405A9"/>
    <w:rsid w:val="00A47E42"/>
    <w:rsid w:val="00A54CA1"/>
    <w:rsid w:val="00A66191"/>
    <w:rsid w:val="00AC61AB"/>
    <w:rsid w:val="00AD4593"/>
    <w:rsid w:val="00AE68DC"/>
    <w:rsid w:val="00B13195"/>
    <w:rsid w:val="00B21742"/>
    <w:rsid w:val="00B94575"/>
    <w:rsid w:val="00B94CE5"/>
    <w:rsid w:val="00BB6994"/>
    <w:rsid w:val="00BC53E6"/>
    <w:rsid w:val="00C03CD7"/>
    <w:rsid w:val="00C05841"/>
    <w:rsid w:val="00C619FC"/>
    <w:rsid w:val="00C65574"/>
    <w:rsid w:val="00C65CAF"/>
    <w:rsid w:val="00C84C28"/>
    <w:rsid w:val="00C935CA"/>
    <w:rsid w:val="00CA0A5F"/>
    <w:rsid w:val="00CD5AE8"/>
    <w:rsid w:val="00CF5D5B"/>
    <w:rsid w:val="00D072FA"/>
    <w:rsid w:val="00D47E8F"/>
    <w:rsid w:val="00D50F3F"/>
    <w:rsid w:val="00D55951"/>
    <w:rsid w:val="00D937EB"/>
    <w:rsid w:val="00DA48A9"/>
    <w:rsid w:val="00DB3C4D"/>
    <w:rsid w:val="00DC351D"/>
    <w:rsid w:val="00E15BF1"/>
    <w:rsid w:val="00E250D7"/>
    <w:rsid w:val="00E85DDD"/>
    <w:rsid w:val="00EB5667"/>
    <w:rsid w:val="00EC7A71"/>
    <w:rsid w:val="00F34F45"/>
    <w:rsid w:val="00F53C48"/>
    <w:rsid w:val="00F934B2"/>
    <w:rsid w:val="00FD4A63"/>
    <w:rsid w:val="00FE7FB3"/>
    <w:rsid w:val="021649FC"/>
    <w:rsid w:val="022F2C85"/>
    <w:rsid w:val="02810D87"/>
    <w:rsid w:val="07F55C66"/>
    <w:rsid w:val="09526CCE"/>
    <w:rsid w:val="0B6949FB"/>
    <w:rsid w:val="0D023D95"/>
    <w:rsid w:val="0E8A2A67"/>
    <w:rsid w:val="0E945864"/>
    <w:rsid w:val="11717F0E"/>
    <w:rsid w:val="138B40F9"/>
    <w:rsid w:val="14F766D0"/>
    <w:rsid w:val="292C0FFF"/>
    <w:rsid w:val="2FF7387C"/>
    <w:rsid w:val="347D3005"/>
    <w:rsid w:val="374E0226"/>
    <w:rsid w:val="3A57294C"/>
    <w:rsid w:val="3AD031B0"/>
    <w:rsid w:val="3B195D26"/>
    <w:rsid w:val="3B8542EB"/>
    <w:rsid w:val="3F997EC2"/>
    <w:rsid w:val="4048214A"/>
    <w:rsid w:val="413D4015"/>
    <w:rsid w:val="414334DE"/>
    <w:rsid w:val="43C201C3"/>
    <w:rsid w:val="49CC13D0"/>
    <w:rsid w:val="49E8450A"/>
    <w:rsid w:val="4B9E7576"/>
    <w:rsid w:val="4E26586C"/>
    <w:rsid w:val="5261632C"/>
    <w:rsid w:val="52A463C7"/>
    <w:rsid w:val="57160F93"/>
    <w:rsid w:val="57F022CB"/>
    <w:rsid w:val="5BD415B9"/>
    <w:rsid w:val="5E124648"/>
    <w:rsid w:val="5E9842F9"/>
    <w:rsid w:val="644330AF"/>
    <w:rsid w:val="669B4439"/>
    <w:rsid w:val="6B383629"/>
    <w:rsid w:val="6C105912"/>
    <w:rsid w:val="765E4A8E"/>
    <w:rsid w:val="78D17A84"/>
    <w:rsid w:val="7CBA760F"/>
    <w:rsid w:val="7CEC65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26"/>
    <w:autoRedefine/>
    <w:qFormat/>
    <w:uiPriority w:val="0"/>
    <w:pPr>
      <w:keepNext/>
      <w:keepLines/>
      <w:spacing w:before="120" w:after="120"/>
      <w:outlineLvl w:val="2"/>
    </w:pPr>
    <w:rPr>
      <w:rFonts w:eastAsia="仿宋"/>
      <w:b/>
      <w:sz w:val="30"/>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27"/>
    <w:autoRedefine/>
    <w:qFormat/>
    <w:uiPriority w:val="0"/>
    <w:pPr>
      <w:jc w:val="left"/>
    </w:pPr>
  </w:style>
  <w:style w:type="paragraph" w:styleId="8">
    <w:name w:val="Body Text"/>
    <w:basedOn w:val="1"/>
    <w:next w:val="1"/>
    <w:link w:val="28"/>
    <w:autoRedefine/>
    <w:qFormat/>
    <w:uiPriority w:val="0"/>
    <w:pPr>
      <w:spacing w:after="120"/>
    </w:pPr>
  </w:style>
  <w:style w:type="paragraph" w:styleId="9">
    <w:name w:val="Plain Text"/>
    <w:basedOn w:val="1"/>
    <w:qFormat/>
    <w:uiPriority w:val="0"/>
    <w:rPr>
      <w:rFonts w:hAnsi="Courier New"/>
    </w:rPr>
  </w:style>
  <w:style w:type="paragraph" w:styleId="10">
    <w:name w:val="Date"/>
    <w:basedOn w:val="1"/>
    <w:next w:val="1"/>
    <w:link w:val="29"/>
    <w:unhideWhenUsed/>
    <w:qFormat/>
    <w:uiPriority w:val="99"/>
    <w:pPr>
      <w:ind w:left="100" w:leftChars="2500"/>
    </w:pPr>
  </w:style>
  <w:style w:type="paragraph" w:styleId="11">
    <w:name w:val="Body Text Indent 2"/>
    <w:basedOn w:val="1"/>
    <w:link w:val="30"/>
    <w:qFormat/>
    <w:uiPriority w:val="0"/>
    <w:pPr>
      <w:ind w:firstLine="630"/>
    </w:pPr>
    <w:rPr>
      <w:sz w:val="32"/>
    </w:rPr>
  </w:style>
  <w:style w:type="paragraph" w:styleId="12">
    <w:name w:val="Balloon Text"/>
    <w:basedOn w:val="1"/>
    <w:link w:val="31"/>
    <w:unhideWhenUsed/>
    <w:uiPriority w:val="99"/>
    <w:rPr>
      <w:sz w:val="18"/>
      <w:szCs w:val="18"/>
    </w:rPr>
  </w:style>
  <w:style w:type="paragraph" w:styleId="13">
    <w:name w:val="footer"/>
    <w:basedOn w:val="1"/>
    <w:link w:val="32"/>
    <w:unhideWhenUsed/>
    <w:qFormat/>
    <w:uiPriority w:val="0"/>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0"/>
    <w:rPr>
      <w:sz w:val="28"/>
    </w:rPr>
  </w:style>
  <w:style w:type="paragraph" w:styleId="16">
    <w:name w:val="annotation subject"/>
    <w:basedOn w:val="7"/>
    <w:next w:val="7"/>
    <w:link w:val="35"/>
    <w:unhideWhenUsed/>
    <w:qFormat/>
    <w:uiPriority w:val="99"/>
    <w:rPr>
      <w:b/>
      <w:bCs/>
    </w:rPr>
  </w:style>
  <w:style w:type="paragraph" w:styleId="17">
    <w:name w:val="Body Text First Indent"/>
    <w:basedOn w:val="8"/>
    <w:link w:val="36"/>
    <w:qFormat/>
    <w:uiPriority w:val="0"/>
    <w:pPr>
      <w:spacing w:line="360" w:lineRule="auto"/>
      <w:ind w:firstLine="420"/>
    </w:pPr>
    <w:rPr>
      <w:rFonts w:ascii="宋体" w:hAnsi="宋体"/>
      <w:sz w:val="24"/>
    </w:rPr>
  </w:style>
  <w:style w:type="paragraph" w:styleId="18">
    <w:name w:val="Body Text First Indent 2"/>
    <w:basedOn w:val="8"/>
    <w:next w:val="1"/>
    <w:unhideWhenUsed/>
    <w:qFormat/>
    <w:uiPriority w:val="0"/>
    <w:pPr>
      <w:ind w:left="420" w:leftChars="200" w:firstLine="420" w:firstLineChars="200"/>
    </w:pPr>
    <w:rPr>
      <w:rFonts w:ascii="宋体"/>
    </w:rPr>
  </w:style>
  <w:style w:type="table" w:styleId="20">
    <w:name w:val="Table Grid"/>
    <w:basedOn w:val="1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annotation reference"/>
    <w:unhideWhenUsed/>
    <w:qFormat/>
    <w:uiPriority w:val="99"/>
    <w:rPr>
      <w:sz w:val="21"/>
      <w:szCs w:val="21"/>
    </w:rPr>
  </w:style>
  <w:style w:type="character" w:customStyle="1" w:styleId="24">
    <w:name w:val="标题 1 字符"/>
    <w:link w:val="2"/>
    <w:qFormat/>
    <w:uiPriority w:val="99"/>
    <w:rPr>
      <w:b/>
      <w:bCs/>
      <w:kern w:val="44"/>
      <w:sz w:val="44"/>
      <w:szCs w:val="44"/>
    </w:rPr>
  </w:style>
  <w:style w:type="character" w:customStyle="1" w:styleId="25">
    <w:name w:val="标题 2 字符"/>
    <w:link w:val="3"/>
    <w:autoRedefine/>
    <w:qFormat/>
    <w:uiPriority w:val="0"/>
    <w:rPr>
      <w:rFonts w:ascii="Arial" w:hAnsi="Arial" w:eastAsia="仿宋"/>
      <w:b/>
      <w:bCs/>
      <w:sz w:val="28"/>
      <w:szCs w:val="32"/>
    </w:rPr>
  </w:style>
  <w:style w:type="character" w:customStyle="1" w:styleId="26">
    <w:name w:val="标题 3 字符"/>
    <w:link w:val="4"/>
    <w:autoRedefine/>
    <w:qFormat/>
    <w:uiPriority w:val="0"/>
    <w:rPr>
      <w:rFonts w:eastAsia="仿宋"/>
      <w:b/>
      <w:sz w:val="30"/>
    </w:rPr>
  </w:style>
  <w:style w:type="character" w:customStyle="1" w:styleId="27">
    <w:name w:val="批注文字 字符"/>
    <w:link w:val="7"/>
    <w:autoRedefine/>
    <w:qFormat/>
    <w:uiPriority w:val="0"/>
  </w:style>
  <w:style w:type="character" w:customStyle="1" w:styleId="28">
    <w:name w:val="正文文本 字符"/>
    <w:link w:val="8"/>
    <w:autoRedefine/>
    <w:qFormat/>
    <w:uiPriority w:val="0"/>
  </w:style>
  <w:style w:type="character" w:customStyle="1" w:styleId="29">
    <w:name w:val="日期 字符"/>
    <w:link w:val="10"/>
    <w:autoRedefine/>
    <w:semiHidden/>
    <w:qFormat/>
    <w:uiPriority w:val="99"/>
    <w:rPr>
      <w:kern w:val="2"/>
      <w:sz w:val="21"/>
      <w:szCs w:val="22"/>
    </w:rPr>
  </w:style>
  <w:style w:type="character" w:customStyle="1" w:styleId="30">
    <w:name w:val="正文文本缩进 2 字符"/>
    <w:link w:val="11"/>
    <w:autoRedefine/>
    <w:qFormat/>
    <w:uiPriority w:val="0"/>
    <w:rPr>
      <w:sz w:val="32"/>
    </w:rPr>
  </w:style>
  <w:style w:type="character" w:customStyle="1" w:styleId="31">
    <w:name w:val="批注框文本 字符"/>
    <w:link w:val="12"/>
    <w:autoRedefine/>
    <w:semiHidden/>
    <w:qFormat/>
    <w:uiPriority w:val="99"/>
    <w:rPr>
      <w:kern w:val="2"/>
      <w:sz w:val="18"/>
      <w:szCs w:val="18"/>
    </w:rPr>
  </w:style>
  <w:style w:type="character" w:customStyle="1" w:styleId="32">
    <w:name w:val="页脚 字符"/>
    <w:link w:val="13"/>
    <w:autoRedefine/>
    <w:qFormat/>
    <w:uiPriority w:val="99"/>
    <w:rPr>
      <w:sz w:val="18"/>
      <w:szCs w:val="18"/>
    </w:rPr>
  </w:style>
  <w:style w:type="character" w:customStyle="1" w:styleId="33">
    <w:name w:val="页眉 字符"/>
    <w:link w:val="14"/>
    <w:autoRedefine/>
    <w:qFormat/>
    <w:uiPriority w:val="99"/>
    <w:rPr>
      <w:sz w:val="18"/>
      <w:szCs w:val="18"/>
    </w:rPr>
  </w:style>
  <w:style w:type="character" w:customStyle="1" w:styleId="34">
    <w:name w:val="副标题 字符"/>
    <w:link w:val="15"/>
    <w:autoRedefine/>
    <w:qFormat/>
    <w:uiPriority w:val="0"/>
    <w:rPr>
      <w:sz w:val="28"/>
    </w:rPr>
  </w:style>
  <w:style w:type="character" w:customStyle="1" w:styleId="35">
    <w:name w:val="批注主题 字符"/>
    <w:link w:val="16"/>
    <w:autoRedefine/>
    <w:semiHidden/>
    <w:qFormat/>
    <w:uiPriority w:val="99"/>
    <w:rPr>
      <w:b/>
      <w:bCs/>
      <w:kern w:val="2"/>
      <w:sz w:val="21"/>
      <w:szCs w:val="22"/>
    </w:rPr>
  </w:style>
  <w:style w:type="character" w:customStyle="1" w:styleId="36">
    <w:name w:val="正文首行缩进 字符"/>
    <w:link w:val="17"/>
    <w:autoRedefine/>
    <w:qFormat/>
    <w:uiPriority w:val="0"/>
    <w:rPr>
      <w:rFonts w:ascii="宋体" w:hAnsi="宋体"/>
      <w:sz w:val="24"/>
    </w:rPr>
  </w:style>
  <w:style w:type="paragraph" w:customStyle="1" w:styleId="37">
    <w:name w:val="标题 5（有编号）（绿盟科技）"/>
    <w:basedOn w:val="38"/>
    <w:next w:val="3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9">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autoRedefine/>
    <w:qFormat/>
    <w:uiPriority w:val="0"/>
    <w:rPr>
      <w:rFonts w:hint="eastAsia" w:ascii="宋体" w:hAnsi="宋体" w:eastAsia="宋体" w:cs="宋体"/>
      <w:b/>
      <w:color w:val="000000"/>
      <w:sz w:val="22"/>
      <w:szCs w:val="22"/>
      <w:u w:val="none"/>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5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川铁职院</Company>
  <Pages>33</Pages>
  <Words>2425</Words>
  <Characters>13824</Characters>
  <Lines>115</Lines>
  <Paragraphs>32</Paragraphs>
  <TotalTime>41</TotalTime>
  <ScaleCrop>false</ScaleCrop>
  <LinksUpToDate>false</LinksUpToDate>
  <CharactersWithSpaces>16217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2024-01-08T09:13:43Z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8A7D0AA5DAFD4C01BD8ABBDAA54BF73C_13</vt:lpwstr>
  </property>
</Properties>
</file>