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rPr>
        <w:t>4</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5"/>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四川铁道职业学院拟对2024年度计算机办公设备耗材采购项目进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项目名称：2024年度计算机办公设备耗材采购项目</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二、项目编号：CTZY-CG-2024014</w:t>
      </w:r>
    </w:p>
    <w:p>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2024年4月</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日时1</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0分(北京时间)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bookmarkStart w:id="34" w:name="_GoBack"/>
      <w:bookmarkEnd w:id="34"/>
    </w:p>
    <w:p>
      <w:pPr>
        <w:pStyle w:val="17"/>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人：贺老师、李老师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联系电话：028-68939875、68939947</w:t>
      </w: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
      <w:pPr>
        <w:pStyle w:val="16"/>
        <w:rPr>
          <w:rFonts w:ascii="宋体" w:hAnsi="宋体" w:eastAsia="宋体" w:cs="Times New Roman"/>
          <w:sz w:val="24"/>
          <w:szCs w:val="24"/>
        </w:rPr>
      </w:pPr>
    </w:p>
    <w:p>
      <w:pPr>
        <w:widowControl/>
        <w:spacing w:line="520" w:lineRule="exact"/>
        <w:jc w:val="center"/>
        <w:outlineLvl w:val="0"/>
        <w:rPr>
          <w:rFonts w:ascii="宋体" w:hAnsi="宋体" w:eastAsia="宋体" w:cs="仿宋"/>
          <w:b/>
          <w:sz w:val="36"/>
          <w:szCs w:val="32"/>
        </w:rPr>
      </w:pPr>
      <w:bookmarkStart w:id="2" w:name="_Toc4075"/>
      <w:bookmarkStart w:id="3" w:name="_Toc23677"/>
      <w:bookmarkStart w:id="4" w:name="_Toc18147"/>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ind w:firstLine="3253" w:firstLineChars="900"/>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14</w:t>
            </w:r>
            <w:r>
              <w:rPr>
                <w:rFonts w:hint="eastAsia" w:cs="Times New Roman"/>
                <w:kern w:val="2"/>
                <w:lang w:val="zh-CN"/>
              </w:rPr>
              <w:t>万元</w:t>
            </w:r>
          </w:p>
          <w:p>
            <w:pPr>
              <w:pStyle w:val="39"/>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cs="Times New Roman"/>
                <w:sz w:val="22"/>
                <w:szCs w:val="22"/>
                <w:lang w:val="zh-CN"/>
              </w:rPr>
              <w:t>不正当竞争预防措施</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rPr>
            </w:pPr>
            <w:r>
              <w:rPr>
                <w:rFonts w:hint="eastAsia" w:cs="Times New Roman"/>
                <w:sz w:val="22"/>
                <w:szCs w:val="22"/>
              </w:rPr>
              <w:t>信用记录查询</w:t>
            </w:r>
          </w:p>
          <w:p>
            <w:pPr>
              <w:pStyle w:val="39"/>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（1）比选人通过</w:t>
            </w:r>
          </w:p>
          <w:p>
            <w:pPr>
              <w:pStyle w:val="39"/>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39"/>
              <w:spacing w:line="360" w:lineRule="exact"/>
              <w:ind w:left="210" w:leftChars="100"/>
              <w:jc w:val="both"/>
              <w:rPr>
                <w:rFonts w:cs="Times New Roman"/>
                <w:kern w:val="2"/>
                <w:lang w:val="zh-CN"/>
              </w:rPr>
            </w:pPr>
            <w:r>
              <w:rPr>
                <w:rFonts w:hint="eastAsia" w:cs="Times New Roman"/>
                <w:kern w:val="2"/>
                <w:lang w:val="zh-CN"/>
              </w:rPr>
              <w:t>（2）查询时间：本项目资格审查时；</w:t>
            </w:r>
          </w:p>
          <w:p>
            <w:pPr>
              <w:pStyle w:val="39"/>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pPr>
              <w:pStyle w:val="39"/>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合同分包</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联合体</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9"/>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217446044"/>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338364"/>
      <w:bookmarkStart w:id="17" w:name="_Toc209847069"/>
      <w:bookmarkStart w:id="18" w:name="_Toc101174151"/>
      <w:bookmarkStart w:id="19" w:name="_Toc101250646"/>
      <w:bookmarkStart w:id="20" w:name="_Toc430773927"/>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1"/>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460"/>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具有独立承担民事责任的能力</w:t>
            </w:r>
          </w:p>
        </w:tc>
        <w:tc>
          <w:tcPr>
            <w:tcW w:w="3259"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（1）申请人若为企业法人：提供“统一社会信用代码营业执照”；未换证的提供“营业执照、税务登记证、组织机构代码证或三证合一的营业执照”；</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（2）若为事业法人：提供“统一社会信用代码法人登记证书”；未换证的提交“事业法人登记证书、组织机构代码证”；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（3）若为其他组织：提供“对应主管部门颁发的准许执业证明文件或营业执照”；</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具有健全的财务会计制度</w:t>
            </w:r>
          </w:p>
        </w:tc>
        <w:tc>
          <w:tcPr>
            <w:tcW w:w="3259"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申请人根据自身情况选择提供其中任意一项：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（1）可提供2022或2023年度经审计的财务报告复印件（包含审计报告和审计报告中所涉及的财务报表和报表附注）；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（2）也可提供申请人内部的2022或2023年度财务报表复印件（至少包含资产负债表）；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（3）也可提供截至提交首次比选申请文件截止日一年内银行出具的资信证明（复印件）；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（4）申请人注册时间截至提交首次比选申请文件截止日不足一年的，也可提供工商管理部门备案的章程（复印件）；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具有良好的商业信誉和履行合同所必需的设备和专业技术能力</w:t>
            </w:r>
          </w:p>
        </w:tc>
        <w:tc>
          <w:tcPr>
            <w:tcW w:w="3259" w:type="pct"/>
            <w:vMerge w:val="restart"/>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统一提供承诺函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p>
        </w:tc>
        <w:tc>
          <w:tcPr>
            <w:tcW w:w="1351"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有依法缴纳税收和社会保障资金的良好记录</w:t>
            </w:r>
          </w:p>
        </w:tc>
        <w:tc>
          <w:tcPr>
            <w:tcW w:w="3259" w:type="pct"/>
            <w:vMerge w:val="continue"/>
            <w:vAlign w:val="center"/>
          </w:tcPr>
          <w:p>
            <w:pPr>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w:t>
            </w:r>
          </w:p>
        </w:tc>
        <w:tc>
          <w:tcPr>
            <w:tcW w:w="1351"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参加本次比选活动前三年内，在经营活动中没有重大违法记录</w:t>
            </w:r>
          </w:p>
        </w:tc>
        <w:tc>
          <w:tcPr>
            <w:tcW w:w="3259" w:type="pct"/>
            <w:vMerge w:val="continue"/>
            <w:vAlign w:val="center"/>
          </w:tcPr>
          <w:p>
            <w:pPr>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w:t>
            </w:r>
          </w:p>
        </w:tc>
        <w:tc>
          <w:tcPr>
            <w:tcW w:w="1351"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法律、行政法规规定的其他条件</w:t>
            </w:r>
          </w:p>
        </w:tc>
        <w:tc>
          <w:tcPr>
            <w:tcW w:w="3259" w:type="pct"/>
            <w:vMerge w:val="continue"/>
            <w:vAlign w:val="center"/>
          </w:tcPr>
          <w:p>
            <w:pPr>
              <w:spacing w:line="360" w:lineRule="auto"/>
              <w:ind w:firstLine="480" w:firstLineChars="20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w:t>
            </w:r>
          </w:p>
        </w:tc>
        <w:tc>
          <w:tcPr>
            <w:tcW w:w="1351"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其他类似效力要求：授权参加本次比选活动的申请人代表证明</w:t>
            </w:r>
          </w:p>
        </w:tc>
        <w:tc>
          <w:tcPr>
            <w:tcW w:w="3259" w:type="pct"/>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（1）法定代表人/单位负责人授权书原件（非法定代表人或单位负责人参与比选时提供，格式见第六章）；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bCs w:val="0"/>
          <w:color w:val="000000"/>
          <w:kern w:val="2"/>
          <w:sz w:val="36"/>
          <w:szCs w:val="36"/>
        </w:rPr>
      </w:pPr>
      <w:bookmarkStart w:id="22" w:name="_Toc23416"/>
      <w:bookmarkStart w:id="23" w:name="_Toc13420"/>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pPr>
        <w:spacing w:line="360" w:lineRule="auto"/>
        <w:jc w:val="left"/>
        <w:rPr>
          <w:rFonts w:ascii="宋体" w:hAnsi="宋体" w:eastAsia="宋体" w:cs="仿宋"/>
          <w:b/>
          <w:bCs/>
          <w:sz w:val="28"/>
          <w:szCs w:val="24"/>
          <w:lang w:val="zh-CN"/>
        </w:rPr>
      </w:pPr>
      <w:r>
        <w:rPr>
          <w:rFonts w:hint="eastAsia" w:ascii="宋体" w:hAnsi="宋体" w:eastAsia="宋体" w:cs="仿宋"/>
          <w:b/>
          <w:bCs/>
          <w:sz w:val="28"/>
          <w:szCs w:val="24"/>
          <w:lang w:val="zh-CN"/>
        </w:rPr>
        <w:t>一、项目概述</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办公设备耗材采购主要包括：电脑、打印机、及其周边办公设备等所需耗材的采购。</w:t>
      </w:r>
    </w:p>
    <w:p>
      <w:pPr>
        <w:spacing w:line="360" w:lineRule="auto"/>
        <w:jc w:val="left"/>
        <w:rPr>
          <w:rFonts w:ascii="宋体" w:hAnsi="宋体" w:eastAsia="宋体" w:cs="仿宋"/>
          <w:b/>
          <w:bCs/>
          <w:sz w:val="28"/>
          <w:szCs w:val="24"/>
          <w:lang w:val="zh-CN"/>
        </w:rPr>
      </w:pPr>
      <w:r>
        <w:rPr>
          <w:rFonts w:hint="eastAsia" w:ascii="宋体" w:hAnsi="宋体" w:eastAsia="宋体" w:cs="仿宋"/>
          <w:b/>
          <w:bCs/>
          <w:sz w:val="28"/>
          <w:szCs w:val="24"/>
          <w:lang w:val="zh-CN"/>
        </w:rPr>
        <w:t>二、技术参数要求</w:t>
      </w:r>
    </w:p>
    <w:p>
      <w:pPr>
        <w:spacing w:line="360" w:lineRule="auto"/>
        <w:ind w:left="480"/>
        <w:jc w:val="left"/>
        <w:rPr>
          <w:rFonts w:ascii="宋体" w:hAnsi="宋体" w:eastAsia="宋体" w:cs="仿宋"/>
          <w:b/>
          <w:bCs/>
          <w:sz w:val="28"/>
          <w:szCs w:val="24"/>
          <w:lang w:val="zh-CN"/>
        </w:rPr>
      </w:pPr>
      <w:r>
        <w:rPr>
          <w:rFonts w:hint="eastAsia" w:ascii="宋体" w:hAnsi="宋体" w:eastAsia="宋体" w:cs="仿宋"/>
          <w:b/>
          <w:bCs/>
          <w:sz w:val="28"/>
          <w:szCs w:val="24"/>
          <w:lang w:val="zh-CN"/>
        </w:rPr>
        <w:t>项目清单：</w:t>
      </w:r>
    </w:p>
    <w:tbl>
      <w:tblPr>
        <w:tblStyle w:val="20"/>
        <w:tblW w:w="8642" w:type="dxa"/>
        <w:jc w:val="center"/>
        <w:tblLayout w:type="fixed"/>
        <w:tblCellMar>
          <w:top w:w="0" w:type="dxa"/>
          <w:left w:w="108" w:type="dxa"/>
          <w:bottom w:w="0" w:type="dxa"/>
          <w:right w:w="108" w:type="dxa"/>
        </w:tblCellMar>
      </w:tblPr>
      <w:tblGrid>
        <w:gridCol w:w="773"/>
        <w:gridCol w:w="2153"/>
        <w:gridCol w:w="1913"/>
        <w:gridCol w:w="2244"/>
        <w:gridCol w:w="694"/>
        <w:gridCol w:w="865"/>
      </w:tblGrid>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21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品名</w:t>
            </w:r>
          </w:p>
        </w:tc>
        <w:tc>
          <w:tcPr>
            <w:tcW w:w="19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技术指标</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适用型号</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单位</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r>
              <w:rPr>
                <w:rFonts w:hint="eastAsia" w:ascii="宋体" w:hAnsi="宋体" w:eastAsia="宋体" w:cs="Times New Roman"/>
                <w:sz w:val="24"/>
                <w:szCs w:val="24"/>
              </w:rPr>
              <w:t>单价（元）</w:t>
            </w: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夏普BP-CT200</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夏普DP-M2522R</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华为服务器内存条</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32G DDR4 2666 </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CC388A鼓粉一体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 388（鼓）</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HP1007/1008</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CC388A碳粉</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在加入供应商提供CC388A硒鼓后可正常使用</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HP1007/1008</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京瓷TK6118粉盒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京瓷4125</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6</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京瓷Z-TK-5223K P5021粉盒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京瓷P5021</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7</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 TK-1183粉盒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京瓷M2135</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8</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无线网卡</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TP-LINK TL-WN725N免驱版</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9</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HDMI视频线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2米</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条</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10</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HDMI视频线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3米</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条</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11</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 1110硒鼓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12</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 192A 鼓粉一体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HP706/701/453/192/193</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13</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 103A 鼓粉一体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HP 103a</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14</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 230A 鼓粉一体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 M203d/M227d</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15</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 88A鼓粉一体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HPM128FN</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16</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 CF210 鼓粉一体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HPM251</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17</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佳能CRG333硒鼓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佳能LBP8100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18</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SATA数据线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SATA数据线</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条</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19</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T1882C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黑粉，仅采用原装</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WF3641/7111/7218/7621/7728</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支</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20</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T1882C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墨盒（青、红、黄粉），仅采用原装</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WF3641/7111/7218/7621/7728</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支</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21</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TK-8118C粉盒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京瓷8124</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22</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TK-8118K粉盒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京瓷8124</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23</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TK-8118M粉盒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京瓷8124</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24</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TK-8118Y粉盒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京瓷8124</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25</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电源板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26</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CRG051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佳能MF266</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27</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CRG-925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佳能LBP6018/LBP6018W</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28</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LH-DR2150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兄弟2140/2150/2170/7340/7040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29</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T-2309C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东芝2303/2803</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30</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TN-1035硒鼓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兄弟1818/18系例/1519/1518</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31</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TN-1035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兄弟1818/18系例/1519/1518</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32</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TN-281BK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兄弟3170/3150/9020/9140/9340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33</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TN-285C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兄弟3170/3150/9020/9140/9340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34</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TN-285M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兄弟3170/3150/9020/9140/9340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35</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TN-285Y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兄弟3170/3150/9020/9140/9340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36</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TK-1113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京瓷SF-1040/1120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37</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TN-2215 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粉盒/兄弟2215</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兄弟HL2240/2250/7057</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38</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光纤跳线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LC-FC单芯(3米)</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条</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39</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光纤跳线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LC-FC双芯(3米)</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条</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40</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光纤跳线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LC-LC双芯(3米)</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条</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41</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CLI-851M粉盒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佳能7280/7580/6400/6800/7180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42</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TK-5233K粉盒</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 (Z-P5021墨粉)</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京瓷 Z-P5021</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43</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VC-795TS 蜡纸</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需与机器型号适用</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br w:type="textWrapping"/>
            </w:r>
            <w:r>
              <w:rPr>
                <w:rFonts w:hint="eastAsia" w:ascii="宋体" w:hAnsi="宋体" w:eastAsia="宋体" w:cs="Times New Roman"/>
                <w:sz w:val="24"/>
                <w:szCs w:val="24"/>
              </w:rPr>
              <w:t>佳文VC-795TS</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卷</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286"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44</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六类千兆网络模块 </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45</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六类千兆网线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305米</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箱</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286"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46</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六类水晶头</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盒</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47</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SFP-GE-LX-SM1310 千兆单模模块</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SFP-GE-LX-SM1310</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48</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MLT-D111S 硒鼓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硒鼓/MLT-D111S</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三星2021/2020/2022/2070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152"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49</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LH-Q2612A 硒鼓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硒鼓/LH-Q2612A</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HP1010/1012/1015/1018/M1005/1020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50</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DR-2150 硒鼓</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兄弟2140硒鼓</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兄弟2140/2150/2170/7340/7040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301"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51</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VC-795TS 油墨</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油墨</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佳文VC-795TS</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52</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长城GMX-40B1A</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仅采用原装粉盒</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长城GMX-40B1A</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53</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标签机碳带</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斑马ZC100</w:t>
            </w: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54</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多合一读卡器</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55</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有线网卡</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绿联</w:t>
            </w: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56</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三线无线路由器</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57</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四线无线路由器</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58</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HDMI转DVI头子</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59</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DP转HDMI/VGA线</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根</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77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60</w:t>
            </w:r>
          </w:p>
        </w:tc>
        <w:tc>
          <w:tcPr>
            <w:tcW w:w="215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双口面板（网络）</w:t>
            </w:r>
          </w:p>
        </w:tc>
        <w:tc>
          <w:tcPr>
            <w:tcW w:w="191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p>
        </w:tc>
        <w:tc>
          <w:tcPr>
            <w:tcW w:w="22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p>
        </w:tc>
        <w:tc>
          <w:tcPr>
            <w:tcW w:w="69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2926"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分项汇总价</w:t>
            </w:r>
          </w:p>
        </w:tc>
        <w:tc>
          <w:tcPr>
            <w:tcW w:w="4851"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人民币大写：</w:t>
            </w:r>
          </w:p>
        </w:tc>
        <w:tc>
          <w:tcPr>
            <w:tcW w:w="8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4"/>
                <w:szCs w:val="24"/>
              </w:rPr>
            </w:pPr>
          </w:p>
        </w:tc>
      </w:tr>
      <w:tr>
        <w:tblPrEx>
          <w:tblCellMar>
            <w:top w:w="0" w:type="dxa"/>
            <w:left w:w="108" w:type="dxa"/>
            <w:bottom w:w="0" w:type="dxa"/>
            <w:right w:w="108" w:type="dxa"/>
          </w:tblCellMar>
        </w:tblPrEx>
        <w:trPr>
          <w:trHeight w:val="483" w:hRule="atLeast"/>
          <w:jc w:val="center"/>
        </w:trPr>
        <w:tc>
          <w:tcPr>
            <w:tcW w:w="8642" w:type="dxa"/>
            <w:gridSpan w:val="6"/>
            <w:tcBorders>
              <w:top w:val="single" w:color="auto" w:sz="4" w:space="0"/>
              <w:left w:val="single" w:color="auto" w:sz="4" w:space="0"/>
              <w:bottom w:val="single" w:color="auto" w:sz="4" w:space="0"/>
              <w:right w:val="single" w:color="auto" w:sz="4" w:space="0"/>
            </w:tcBorders>
            <w:noWrap/>
          </w:tcPr>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其它要求：</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1.针对不同激光打印机的要求。</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鼓粉分离打印机：更换一次硒鼓，打印页数不低于1800页，添加一次墨粉，打印页数不低于1800页，墨粉由供应商负责加装。</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针对大容量粉盒的打印机（如：京瓷M4125DN、佳能4235IDV等），更换一个粉盒，打印页数不低于5000页；</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供应商更换耗材后，经学校使用部门反馈打印页面的数量与以上要求相差大于30%，供应商须免费更换相关耗材。</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2.报价核算方法：</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分项汇总价=单价列下数值总和，投标报价=分项汇总价。</w:t>
            </w:r>
          </w:p>
          <w:p>
            <w:pPr>
              <w:spacing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★3.各投标人需针对采购清单全部耗材进行报价。</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 xml:space="preserve"> 投标方根据资质情况对学院提供的《计算机办公设备耗材采购清单》中设备耗材进行报价，此报价一个合同周期（壹年）内不变，每次供货设备耗材单价不得高于《计算机办公设备耗材采购清单》表中对应设备耗材单价。《计算机办公设备耗材采购清单》表中未报价的设备耗材价格以提出设备耗材供货需求当日的京东商城同品名设备耗材的价格为最高限价，由乙方根据设备耗材具体内容进行报价，经甲方审核定价后进行设备耗材供货。</w:t>
            </w:r>
          </w:p>
          <w:p>
            <w:pPr>
              <w:spacing w:line="360" w:lineRule="auto"/>
              <w:ind w:firstLine="240" w:firstLineChars="100"/>
              <w:rPr>
                <w:rFonts w:ascii="宋体" w:hAnsi="宋体" w:eastAsia="宋体" w:cs="Times New Roman"/>
                <w:color w:val="000000" w:themeColor="text1"/>
                <w:sz w:val="24"/>
                <w:szCs w:val="24"/>
                <w14:textFill>
                  <w14:solidFill>
                    <w14:schemeClr w14:val="tx1"/>
                  </w14:solidFill>
                </w14:textFill>
              </w:rPr>
            </w:pPr>
          </w:p>
        </w:tc>
      </w:tr>
    </w:tbl>
    <w:p>
      <w:pPr>
        <w:spacing w:line="360" w:lineRule="auto"/>
        <w:rPr>
          <w:rFonts w:ascii="宋体" w:hAnsi="宋体" w:eastAsia="宋体" w:cs="Times New Roman"/>
          <w:color w:val="000000" w:themeColor="text1"/>
          <w:sz w:val="24"/>
          <w:szCs w:val="24"/>
          <w:lang w:val="zh-CN"/>
          <w14:textFill>
            <w14:solidFill>
              <w14:schemeClr w14:val="tx1"/>
            </w14:solidFill>
          </w14:textFill>
        </w:rPr>
      </w:pPr>
    </w:p>
    <w:p>
      <w:pPr>
        <w:numPr>
          <w:ilvl w:val="0"/>
          <w:numId w:val="2"/>
        </w:numPr>
        <w:spacing w:line="360" w:lineRule="auto"/>
        <w:ind w:firstLine="480"/>
        <w:rPr>
          <w:rFonts w:ascii="宋体" w:hAnsi="宋体" w:eastAsia="宋体" w:cs="仿宋"/>
          <w:b/>
          <w:bCs/>
          <w:color w:val="000000" w:themeColor="text1"/>
          <w:sz w:val="28"/>
          <w:szCs w:val="24"/>
          <w:lang w:val="zh-CN"/>
          <w14:textFill>
            <w14:solidFill>
              <w14:schemeClr w14:val="tx1"/>
            </w14:solidFill>
          </w14:textFill>
        </w:rPr>
      </w:pPr>
      <w:r>
        <w:rPr>
          <w:rFonts w:hint="eastAsia" w:ascii="宋体" w:hAnsi="宋体" w:eastAsia="宋体" w:cs="仿宋"/>
          <w:b/>
          <w:bCs/>
          <w:color w:val="000000" w:themeColor="text1"/>
          <w:sz w:val="28"/>
          <w:szCs w:val="24"/>
          <w:lang w:val="zh-CN"/>
          <w14:textFill>
            <w14:solidFill>
              <w14:schemeClr w14:val="tx1"/>
            </w14:solidFill>
          </w14:textFill>
        </w:rPr>
        <w:t>商务要求（实质性要求）</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本项目协议期壹年，自合同签订之日起生效。</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交货日期及地点：接到甲方设备耗材供货通知后应在2个工作日内送达学校后勤国资处库房或甲方指定的收货地点，如有紧急供货需求，接到甲方设备耗材供货通知后应在4个小时内送达学校后勤国资处库房或甲方指定的收货地点，期间产生交通或运输费用由供应商承担。供货逾期按320元/天标准承担违约金。确保通讯工具24小时开通，在需要时能够执行校方的送货要求。</w:t>
      </w:r>
    </w:p>
    <w:p>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 xml:space="preserve"> 验收内容及标准：根据各个项目实际供货标准进行验收。</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付款方式：本项目根据实际采购使用量据实结算，原则上每3个月甲方应结算至少1次，实际结算=Σ设备耗材报价*设备耗材实际使用量；甲方在确认货物合格且收到中标人提供相应正式发票后15个工作日内进行支付。</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售后服务</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 如果设备耗材供货有三次以上服务问题（如设备耗材质量不达标，配送时间超过招标规定时间1天等情况)校方有权终止合同。</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（2）设备耗材供货需满足甲方提供的供货方案要求及现行供货规范要求。</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质保期：计算机设备配件、网络设备、打印机耗材等，质保期以原厂规定的时间为准；无原厂质保期的，自交货之日起保质期不低于一年。供应商提供的耗材必须是原装正品且符合国家及行业标准的合格产品。</w:t>
      </w:r>
    </w:p>
    <w:p>
      <w:pPr>
        <w:spacing w:line="360" w:lineRule="auto"/>
        <w:ind w:firstLine="480" w:firstLineChars="200"/>
        <w:rPr>
          <w:rFonts w:hint="eastAsia" w:ascii="宋体" w:hAnsi="宋体" w:eastAsia="宋体" w:cs="Times New Roman"/>
          <w:color w:val="000000" w:themeColor="text1"/>
          <w:sz w:val="24"/>
          <w:szCs w:val="24"/>
          <w14:textFill>
            <w14:solidFill>
              <w14:schemeClr w14:val="tx1"/>
            </w14:solidFill>
          </w14:textFill>
        </w:rPr>
      </w:pP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（4）供应商所供耗材须免费安装，甲方在使用过程中，如果发现耗材质量有问题，供应商须免费更换。如3次更换仍达不到甲方使用要求，甲方有权单方面终止合同，并有权向供货商追究甲方损失。</w:t>
      </w:r>
    </w:p>
    <w:p>
      <w:pPr>
        <w:jc w:val="center"/>
        <w:rPr>
          <w:rFonts w:ascii="宋体" w:hAnsi="宋体" w:eastAsia="宋体"/>
          <w:color w:val="000000"/>
          <w:sz w:val="36"/>
          <w:szCs w:val="36"/>
        </w:rPr>
      </w:pPr>
    </w:p>
    <w:p>
      <w:pPr>
        <w:jc w:val="center"/>
        <w:rPr>
          <w:rFonts w:ascii="宋体" w:hAnsi="宋体" w:eastAsia="宋体"/>
          <w:color w:val="000000"/>
          <w:sz w:val="36"/>
          <w:szCs w:val="36"/>
        </w:rPr>
      </w:pPr>
    </w:p>
    <w:p>
      <w:pPr>
        <w:jc w:val="center"/>
        <w:rPr>
          <w:rFonts w:ascii="宋体" w:hAnsi="宋体" w:eastAsia="宋体"/>
          <w:color w:val="000000"/>
          <w:sz w:val="36"/>
          <w:szCs w:val="36"/>
        </w:rPr>
      </w:pPr>
    </w:p>
    <w:p>
      <w:pPr>
        <w:jc w:val="center"/>
        <w:rPr>
          <w:rFonts w:ascii="宋体" w:hAnsi="宋体" w:eastAsia="宋体"/>
          <w:color w:val="000000"/>
          <w:sz w:val="36"/>
          <w:szCs w:val="36"/>
        </w:rPr>
      </w:pPr>
    </w:p>
    <w:p>
      <w:pPr>
        <w:jc w:val="center"/>
        <w:rPr>
          <w:rFonts w:ascii="宋体" w:hAnsi="宋体" w:eastAsia="宋体"/>
          <w:color w:val="000000"/>
          <w:sz w:val="36"/>
          <w:szCs w:val="36"/>
        </w:rPr>
      </w:pPr>
    </w:p>
    <w:p>
      <w:pPr>
        <w:jc w:val="center"/>
        <w:rPr>
          <w:rFonts w:ascii="宋体" w:hAnsi="宋体" w:eastAsia="宋体"/>
          <w:color w:val="000000"/>
          <w:sz w:val="36"/>
          <w:szCs w:val="36"/>
        </w:rPr>
      </w:pPr>
    </w:p>
    <w:p>
      <w:pPr>
        <w:jc w:val="center"/>
        <w:rPr>
          <w:rFonts w:ascii="宋体" w:hAnsi="宋体" w:eastAsia="宋体"/>
          <w:color w:val="000000"/>
          <w:sz w:val="36"/>
          <w:szCs w:val="36"/>
        </w:rPr>
      </w:pPr>
    </w:p>
    <w:p>
      <w:pPr>
        <w:jc w:val="center"/>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p>
    <w:p>
      <w:pPr>
        <w:ind w:firstLine="2160" w:firstLineChars="600"/>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tbl>
      <w:tblPr>
        <w:tblStyle w:val="20"/>
        <w:tblW w:w="9379" w:type="dxa"/>
        <w:tblCellSpacing w:w="0" w:type="dxa"/>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2"/>
        <w:gridCol w:w="1420"/>
        <w:gridCol w:w="1137"/>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blCellSpacing w:w="0" w:type="dxa"/>
        </w:trPr>
        <w:tc>
          <w:tcPr>
            <w:tcW w:w="5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序号</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评价因素</w:t>
            </w:r>
          </w:p>
        </w:tc>
        <w:tc>
          <w:tcPr>
            <w:tcW w:w="1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权重</w:t>
            </w:r>
          </w:p>
          <w:p>
            <w:pPr>
              <w:spacing w:line="360" w:lineRule="auto"/>
              <w:jc w:val="center"/>
              <w:rPr>
                <w:rFonts w:ascii="宋体" w:hAnsi="宋体" w:eastAsia="宋体"/>
                <w:sz w:val="24"/>
                <w:szCs w:val="24"/>
              </w:rPr>
            </w:pPr>
          </w:p>
        </w:tc>
        <w:tc>
          <w:tcPr>
            <w:tcW w:w="62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0" w:firstLineChars="196"/>
              <w:jc w:val="center"/>
              <w:rPr>
                <w:rFonts w:ascii="宋体" w:hAnsi="宋体" w:eastAsia="宋体"/>
                <w:sz w:val="24"/>
                <w:szCs w:val="24"/>
              </w:rPr>
            </w:pPr>
            <w:r>
              <w:rPr>
                <w:rFonts w:hint="eastAsia" w:ascii="宋体" w:hAnsi="宋体" w:eastAsia="宋体"/>
                <w:sz w:val="24"/>
                <w:szCs w:val="24"/>
              </w:rPr>
              <w:t>评分原则说明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2" w:type="dxa"/>
            <w:tcBorders>
              <w:right w:val="single" w:color="auto" w:sz="4" w:space="0"/>
            </w:tcBorders>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1</w:t>
            </w:r>
          </w:p>
        </w:tc>
        <w:tc>
          <w:tcPr>
            <w:tcW w:w="1420" w:type="dxa"/>
            <w:tcBorders>
              <w:left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耗材报价</w:t>
            </w:r>
          </w:p>
        </w:tc>
        <w:tc>
          <w:tcPr>
            <w:tcW w:w="1137" w:type="dxa"/>
            <w:tcBorders>
              <w:left w:val="single" w:color="auto" w:sz="4" w:space="0"/>
              <w:right w:val="single" w:color="auto" w:sz="4" w:space="0"/>
            </w:tcBorders>
            <w:vAlign w:val="center"/>
          </w:tcPr>
          <w:p>
            <w:pPr>
              <w:spacing w:line="360" w:lineRule="auto"/>
              <w:ind w:firstLine="470" w:firstLineChars="196"/>
              <w:rPr>
                <w:rFonts w:ascii="宋体" w:hAnsi="宋体" w:eastAsia="宋体"/>
                <w:sz w:val="24"/>
                <w:szCs w:val="24"/>
              </w:rPr>
            </w:pPr>
            <w:r>
              <w:rPr>
                <w:rFonts w:ascii="宋体" w:hAnsi="宋体" w:eastAsia="宋体"/>
                <w:sz w:val="24"/>
                <w:szCs w:val="24"/>
              </w:rPr>
              <w:t>50</w:t>
            </w:r>
            <w:r>
              <w:rPr>
                <w:rFonts w:hint="eastAsia" w:ascii="宋体" w:hAnsi="宋体" w:eastAsia="宋体"/>
                <w:sz w:val="24"/>
                <w:szCs w:val="24"/>
              </w:rPr>
              <w:t>分</w:t>
            </w:r>
          </w:p>
        </w:tc>
        <w:tc>
          <w:tcPr>
            <w:tcW w:w="6230" w:type="dxa"/>
            <w:tcBorders>
              <w:lef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满足招标文件要求且投标价格最低的投标报价为评标基准价。投标报价得分=(评标基准价÷投标报价)×100。满分为</w:t>
            </w:r>
            <w:r>
              <w:rPr>
                <w:rFonts w:ascii="宋体" w:hAnsi="宋体" w:eastAsia="宋体"/>
                <w:sz w:val="24"/>
                <w:szCs w:val="24"/>
              </w:rPr>
              <w:t>50</w:t>
            </w:r>
            <w:r>
              <w:rPr>
                <w:rFonts w:hint="eastAsia" w:ascii="宋体" w:hAnsi="宋体" w:eastAsia="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tblCellSpacing w:w="0" w:type="dxa"/>
        </w:trPr>
        <w:tc>
          <w:tcPr>
            <w:tcW w:w="592" w:type="dxa"/>
            <w:vAlign w:val="center"/>
          </w:tcPr>
          <w:p>
            <w:pPr>
              <w:spacing w:line="360" w:lineRule="auto"/>
              <w:ind w:firstLine="240" w:firstLineChars="100"/>
              <w:rPr>
                <w:rFonts w:ascii="宋体" w:hAnsi="宋体" w:eastAsia="宋体"/>
                <w:sz w:val="24"/>
                <w:szCs w:val="24"/>
              </w:rPr>
            </w:pPr>
            <w:r>
              <w:rPr>
                <w:rFonts w:ascii="宋体" w:hAnsi="宋体" w:eastAsia="宋体"/>
                <w:sz w:val="24"/>
                <w:szCs w:val="24"/>
              </w:rPr>
              <w:t>2</w:t>
            </w:r>
          </w:p>
        </w:tc>
        <w:tc>
          <w:tcPr>
            <w:tcW w:w="1420" w:type="dxa"/>
            <w:vAlign w:val="center"/>
          </w:tcPr>
          <w:p>
            <w:pPr>
              <w:spacing w:line="360" w:lineRule="auto"/>
              <w:ind w:firstLine="480" w:firstLineChars="200"/>
              <w:rPr>
                <w:rFonts w:ascii="宋体" w:hAnsi="宋体" w:eastAsia="宋体"/>
                <w:sz w:val="24"/>
                <w:szCs w:val="24"/>
              </w:rPr>
            </w:pPr>
            <w:r>
              <w:rPr>
                <w:rFonts w:hint="eastAsia" w:ascii="宋体" w:hAnsi="宋体" w:eastAsia="宋体"/>
                <w:sz w:val="24"/>
                <w:szCs w:val="24"/>
              </w:rPr>
              <w:t>业绩</w:t>
            </w:r>
          </w:p>
        </w:tc>
        <w:tc>
          <w:tcPr>
            <w:tcW w:w="1137" w:type="dxa"/>
            <w:vAlign w:val="center"/>
          </w:tcPr>
          <w:p>
            <w:pPr>
              <w:spacing w:line="360" w:lineRule="auto"/>
              <w:ind w:firstLine="240" w:firstLineChars="100"/>
              <w:jc w:val="center"/>
              <w:rPr>
                <w:rFonts w:ascii="宋体" w:hAnsi="宋体" w:eastAsia="宋体"/>
                <w:sz w:val="24"/>
                <w:szCs w:val="24"/>
              </w:rPr>
            </w:pPr>
            <w:r>
              <w:rPr>
                <w:rFonts w:hint="eastAsia" w:ascii="宋体" w:hAnsi="宋体" w:eastAsia="宋体"/>
                <w:sz w:val="24"/>
                <w:szCs w:val="24"/>
              </w:rPr>
              <w:t>5分</w:t>
            </w:r>
          </w:p>
        </w:tc>
        <w:tc>
          <w:tcPr>
            <w:tcW w:w="6230" w:type="dxa"/>
            <w:vAlign w:val="center"/>
          </w:tcPr>
          <w:p>
            <w:pPr>
              <w:spacing w:line="360" w:lineRule="auto"/>
              <w:rPr>
                <w:rFonts w:ascii="宋体" w:hAnsi="宋体" w:eastAsia="宋体"/>
                <w:sz w:val="24"/>
                <w:szCs w:val="24"/>
              </w:rPr>
            </w:pPr>
            <w:r>
              <w:rPr>
                <w:rFonts w:hint="eastAsia" w:ascii="宋体" w:hAnsi="宋体" w:eastAsia="宋体"/>
                <w:sz w:val="24"/>
                <w:szCs w:val="24"/>
              </w:rPr>
              <w:t>供应商自2021年1月1日起具有类似项目业绩的，每具有 1 个得 1分，最多得5分。（提供加盖供应商鲜章的合同复印件予以佐证，不提供或不满足不得分）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tblCellSpacing w:w="0" w:type="dxa"/>
        </w:trPr>
        <w:tc>
          <w:tcPr>
            <w:tcW w:w="592" w:type="dxa"/>
            <w:vAlign w:val="center"/>
          </w:tcPr>
          <w:p>
            <w:pPr>
              <w:spacing w:line="360" w:lineRule="auto"/>
              <w:ind w:firstLine="240" w:firstLineChars="100"/>
              <w:rPr>
                <w:rFonts w:ascii="宋体" w:hAnsi="宋体" w:eastAsia="宋体"/>
                <w:sz w:val="24"/>
                <w:szCs w:val="24"/>
              </w:rPr>
            </w:pPr>
            <w:r>
              <w:rPr>
                <w:rFonts w:ascii="宋体" w:hAnsi="宋体" w:eastAsia="宋体"/>
                <w:sz w:val="24"/>
                <w:szCs w:val="24"/>
              </w:rPr>
              <w:t>3</w:t>
            </w:r>
          </w:p>
        </w:tc>
        <w:tc>
          <w:tcPr>
            <w:tcW w:w="142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实施配</w:t>
            </w:r>
          </w:p>
          <w:p>
            <w:pPr>
              <w:spacing w:line="360" w:lineRule="auto"/>
              <w:jc w:val="center"/>
              <w:rPr>
                <w:rFonts w:ascii="宋体" w:hAnsi="宋体" w:eastAsia="宋体"/>
                <w:sz w:val="24"/>
                <w:szCs w:val="24"/>
              </w:rPr>
            </w:pPr>
            <w:r>
              <w:rPr>
                <w:rFonts w:hint="eastAsia" w:ascii="宋体" w:hAnsi="宋体" w:eastAsia="宋体"/>
                <w:sz w:val="24"/>
                <w:szCs w:val="24"/>
              </w:rPr>
              <w:t>送方案</w:t>
            </w:r>
          </w:p>
        </w:tc>
        <w:tc>
          <w:tcPr>
            <w:tcW w:w="1137" w:type="dxa"/>
            <w:vAlign w:val="center"/>
          </w:tcPr>
          <w:p>
            <w:pPr>
              <w:spacing w:line="360" w:lineRule="auto"/>
              <w:ind w:firstLine="240" w:firstLineChars="100"/>
              <w:jc w:val="center"/>
              <w:rPr>
                <w:rFonts w:ascii="宋体" w:hAnsi="宋体" w:eastAsia="宋体"/>
                <w:sz w:val="24"/>
                <w:szCs w:val="24"/>
              </w:rPr>
            </w:pPr>
            <w:r>
              <w:rPr>
                <w:rFonts w:ascii="宋体" w:hAnsi="宋体" w:eastAsia="宋体"/>
                <w:sz w:val="24"/>
                <w:szCs w:val="24"/>
              </w:rPr>
              <w:t>35</w:t>
            </w:r>
            <w:r>
              <w:rPr>
                <w:rFonts w:hint="eastAsia" w:ascii="宋体" w:hAnsi="宋体" w:eastAsia="宋体"/>
                <w:sz w:val="24"/>
                <w:szCs w:val="24"/>
              </w:rPr>
              <w:t>分</w:t>
            </w:r>
          </w:p>
        </w:tc>
        <w:tc>
          <w:tcPr>
            <w:tcW w:w="6230" w:type="dxa"/>
            <w:vAlign w:val="center"/>
          </w:tcPr>
          <w:p>
            <w:pPr>
              <w:spacing w:line="360" w:lineRule="auto"/>
              <w:rPr>
                <w:rFonts w:ascii="宋体" w:hAnsi="宋体" w:eastAsia="宋体"/>
                <w:sz w:val="24"/>
                <w:szCs w:val="24"/>
              </w:rPr>
            </w:pPr>
            <w:r>
              <w:rPr>
                <w:rFonts w:hint="eastAsia" w:ascii="宋体" w:hAnsi="宋体" w:eastAsia="宋体"/>
                <w:sz w:val="24"/>
                <w:szCs w:val="24"/>
              </w:rPr>
              <w:t>供应商提供的项目实施方案应包含：</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①人员配置及分工；</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②货源组织方案；</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③包装运输方案；</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④时间进度安排；</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⑤产品质量检验制度；</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⑥质量保障措施；</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⑦应急预案。</w:t>
            </w:r>
          </w:p>
          <w:p>
            <w:pPr>
              <w:spacing w:line="360" w:lineRule="auto"/>
              <w:rPr>
                <w:rFonts w:ascii="宋体" w:hAnsi="宋体" w:eastAsia="宋体"/>
                <w:sz w:val="24"/>
                <w:szCs w:val="24"/>
              </w:rPr>
            </w:pPr>
            <w:r>
              <w:rPr>
                <w:rFonts w:hint="eastAsia" w:ascii="宋体" w:hAnsi="宋体" w:eastAsia="宋体"/>
                <w:sz w:val="24"/>
                <w:szCs w:val="24"/>
              </w:rPr>
              <w:t>每具有一项得</w:t>
            </w:r>
            <w:r>
              <w:rPr>
                <w:rFonts w:ascii="宋体" w:hAnsi="宋体" w:eastAsia="宋体"/>
                <w:sz w:val="24"/>
                <w:szCs w:val="24"/>
              </w:rPr>
              <w:t>5</w:t>
            </w:r>
            <w:r>
              <w:rPr>
                <w:rFonts w:hint="eastAsia" w:ascii="宋体" w:hAnsi="宋体" w:eastAsia="宋体"/>
                <w:sz w:val="24"/>
                <w:szCs w:val="24"/>
              </w:rPr>
              <w:t>分，不提供不得分，三项均全部满足得</w:t>
            </w:r>
            <w:r>
              <w:rPr>
                <w:rFonts w:ascii="宋体" w:hAnsi="宋体" w:eastAsia="宋体"/>
                <w:sz w:val="24"/>
                <w:szCs w:val="24"/>
              </w:rPr>
              <w:t>35</w:t>
            </w:r>
            <w:r>
              <w:rPr>
                <w:rFonts w:hint="eastAsia" w:ascii="宋体" w:hAnsi="宋体" w:eastAsia="宋体"/>
                <w:sz w:val="24"/>
                <w:szCs w:val="24"/>
              </w:rPr>
              <w:t>分。每有一项内容错误（(内容错误指：项目名称、实施地点、各种组织规范、标准与本项目要求不匹配；方案内容与项目不匹配；方案内容与项目无关或内容脱离实际需求等情形)）或内容描述不清楚、不准确、不完整的扣1分，直至扣完此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tblCellSpacing w:w="0" w:type="dxa"/>
        </w:trPr>
        <w:tc>
          <w:tcPr>
            <w:tcW w:w="592" w:type="dxa"/>
            <w:vAlign w:val="center"/>
          </w:tcPr>
          <w:p>
            <w:pPr>
              <w:spacing w:line="360" w:lineRule="auto"/>
              <w:ind w:firstLine="240" w:firstLineChars="100"/>
              <w:rPr>
                <w:rFonts w:ascii="宋体" w:hAnsi="宋体" w:eastAsia="宋体"/>
                <w:sz w:val="24"/>
                <w:szCs w:val="24"/>
              </w:rPr>
            </w:pPr>
            <w:r>
              <w:rPr>
                <w:rFonts w:ascii="宋体" w:hAnsi="宋体" w:eastAsia="宋体"/>
                <w:sz w:val="24"/>
                <w:szCs w:val="24"/>
              </w:rPr>
              <w:t>4</w:t>
            </w:r>
          </w:p>
        </w:tc>
        <w:tc>
          <w:tcPr>
            <w:tcW w:w="1420" w:type="dxa"/>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售后服务</w:t>
            </w:r>
          </w:p>
        </w:tc>
        <w:tc>
          <w:tcPr>
            <w:tcW w:w="1137" w:type="dxa"/>
            <w:vAlign w:val="center"/>
          </w:tcPr>
          <w:p>
            <w:pPr>
              <w:spacing w:line="360" w:lineRule="auto"/>
              <w:ind w:firstLine="240" w:firstLineChars="100"/>
              <w:jc w:val="center"/>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分</w:t>
            </w:r>
          </w:p>
        </w:tc>
        <w:tc>
          <w:tcPr>
            <w:tcW w:w="6230" w:type="dxa"/>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供应商具有完善的售后服务方案。售后服务方案应包含：</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①售后响应时间；</w:t>
            </w:r>
          </w:p>
          <w:p>
            <w:pPr>
              <w:spacing w:line="360" w:lineRule="auto"/>
              <w:ind w:firstLine="240" w:firstLineChars="100"/>
              <w:rPr>
                <w:rFonts w:ascii="宋体" w:hAnsi="宋体" w:eastAsia="宋体"/>
                <w:sz w:val="24"/>
                <w:szCs w:val="24"/>
              </w:rPr>
            </w:pPr>
            <w:r>
              <w:rPr>
                <w:rFonts w:hint="eastAsia" w:ascii="宋体" w:hAnsi="宋体" w:eastAsia="宋体"/>
                <w:sz w:val="24"/>
                <w:szCs w:val="24"/>
              </w:rPr>
              <w:t>②售后流程及措施等。</w:t>
            </w:r>
          </w:p>
          <w:p>
            <w:pPr>
              <w:spacing w:line="360" w:lineRule="auto"/>
              <w:ind w:firstLine="240" w:firstLineChars="100"/>
              <w:rPr>
                <w:rFonts w:ascii="宋体" w:hAnsi="宋体" w:eastAsia="宋体"/>
                <w:sz w:val="24"/>
                <w:szCs w:val="24"/>
              </w:rPr>
            </w:pPr>
            <w:r>
              <w:rPr>
                <w:rFonts w:hint="eastAsia" w:ascii="宋体" w:hAnsi="宋体" w:eastAsia="宋体"/>
                <w:sz w:val="24"/>
                <w:szCs w:val="24"/>
              </w:rPr>
              <w:t>每具有一项得</w:t>
            </w:r>
            <w:r>
              <w:rPr>
                <w:rFonts w:ascii="宋体" w:hAnsi="宋体" w:eastAsia="宋体"/>
                <w:sz w:val="24"/>
                <w:szCs w:val="24"/>
              </w:rPr>
              <w:t>5</w:t>
            </w:r>
            <w:r>
              <w:rPr>
                <w:rFonts w:hint="eastAsia" w:ascii="宋体" w:hAnsi="宋体" w:eastAsia="宋体"/>
                <w:sz w:val="24"/>
                <w:szCs w:val="24"/>
              </w:rPr>
              <w:t>分，不提供不得分，两项均全部满足得</w:t>
            </w:r>
            <w:r>
              <w:rPr>
                <w:rFonts w:ascii="宋体" w:hAnsi="宋体" w:eastAsia="宋体"/>
                <w:sz w:val="24"/>
                <w:szCs w:val="24"/>
              </w:rPr>
              <w:t>10</w:t>
            </w:r>
            <w:r>
              <w:rPr>
                <w:rFonts w:hint="eastAsia" w:ascii="宋体" w:hAnsi="宋体" w:eastAsia="宋体"/>
                <w:sz w:val="24"/>
                <w:szCs w:val="24"/>
              </w:rPr>
              <w:t>分。每有一项内容错误或内容描述不清楚、不准确、不完整的扣</w:t>
            </w:r>
            <w:r>
              <w:rPr>
                <w:rFonts w:ascii="宋体" w:hAnsi="宋体" w:eastAsia="宋体"/>
                <w:sz w:val="24"/>
                <w:szCs w:val="24"/>
              </w:rPr>
              <w:t>1</w:t>
            </w:r>
            <w:r>
              <w:rPr>
                <w:rFonts w:hint="eastAsia" w:ascii="宋体" w:hAnsi="宋体" w:eastAsia="宋体"/>
                <w:sz w:val="24"/>
                <w:szCs w:val="24"/>
              </w:rPr>
              <w:t>分，直至扣完此项得分为止。</w:t>
            </w:r>
          </w:p>
        </w:tc>
      </w:tr>
    </w:tbl>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p>
    <w:p>
      <w:pPr>
        <w:spacing w:line="360" w:lineRule="auto"/>
        <w:ind w:firstLine="470" w:firstLineChars="196"/>
        <w:jc w:val="center"/>
        <w:rPr>
          <w:rFonts w:ascii="宋体" w:hAnsi="宋体" w:eastAsia="宋体"/>
          <w:sz w:val="24"/>
          <w:szCs w:val="24"/>
        </w:rPr>
      </w:pPr>
    </w:p>
    <w:p>
      <w:pPr>
        <w:spacing w:line="360" w:lineRule="auto"/>
        <w:ind w:firstLine="470" w:firstLineChars="196"/>
        <w:rPr>
          <w:rFonts w:ascii="宋体" w:hAnsi="宋体" w:eastAsia="宋体"/>
          <w:sz w:val="24"/>
          <w:szCs w:val="24"/>
        </w:rPr>
      </w:pPr>
    </w:p>
    <w:p>
      <w:pPr>
        <w:jc w:val="center"/>
        <w:rPr>
          <w:rFonts w:ascii="宋体" w:hAnsi="宋体" w:eastAsia="宋体" w:cs="仿宋"/>
          <w:sz w:val="24"/>
          <w:szCs w:val="24"/>
          <w:lang w:val="zh-TW" w:eastAsia="zh-TW"/>
        </w:rPr>
      </w:pPr>
    </w:p>
    <w:p>
      <w:pPr>
        <w:rPr>
          <w:rFonts w:ascii="宋体" w:hAnsi="宋体" w:eastAsia="宋体"/>
          <w:sz w:val="24"/>
          <w:szCs w:val="24"/>
        </w:rPr>
      </w:pPr>
    </w:p>
    <w:p>
      <w:pPr>
        <w:pStyle w:val="19"/>
        <w:rPr>
          <w:rFonts w:eastAsia="宋体" w:cs="仿宋"/>
          <w:szCs w:val="24"/>
          <w:lang w:eastAsia="zh-TW"/>
        </w:rPr>
      </w:pPr>
    </w:p>
    <w:p>
      <w:pPr>
        <w:pStyle w:val="19"/>
        <w:rPr>
          <w:rFonts w:eastAsia="宋体" w:cs="仿宋"/>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pStyle w:val="16"/>
        <w:jc w:val="center"/>
        <w:rPr>
          <w:rFonts w:ascii="宋体" w:hAnsi="宋体" w:eastAsia="宋体"/>
          <w:b/>
          <w:sz w:val="72"/>
          <w:szCs w:val="72"/>
        </w:rPr>
      </w:pPr>
      <w:r>
        <w:rPr>
          <w:rFonts w:hint="eastAsia" w:ascii="宋体" w:hAnsi="宋体" w:eastAsia="宋体"/>
          <w:b/>
          <w:sz w:val="72"/>
          <w:szCs w:val="72"/>
        </w:rPr>
        <w:t>XXXXX项目</w:t>
      </w:r>
    </w:p>
    <w:p>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8" w:name="_Toc217446082"/>
      <w:r>
        <w:rPr>
          <w:rFonts w:hint="eastAsia" w:ascii="宋体" w:hAnsi="宋体" w:eastAsia="宋体"/>
          <w:sz w:val="32"/>
        </w:rPr>
        <w:br w:type="page"/>
      </w:r>
    </w:p>
    <w:p>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0"/>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2816"/>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816"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062"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spacing w:line="360" w:lineRule="auto"/>
              <w:jc w:val="center"/>
              <w:rPr>
                <w:rFonts w:ascii="宋体" w:hAnsi="宋体" w:eastAsia="宋体" w:cs="仿宋"/>
                <w:sz w:val="21"/>
                <w:szCs w:val="21"/>
              </w:rPr>
            </w:pPr>
          </w:p>
        </w:tc>
        <w:tc>
          <w:tcPr>
            <w:tcW w:w="2816" w:type="dxa"/>
            <w:vAlign w:val="center"/>
          </w:tcPr>
          <w:p>
            <w:pPr>
              <w:pStyle w:val="40"/>
              <w:spacing w:line="360" w:lineRule="auto"/>
              <w:jc w:val="center"/>
              <w:rPr>
                <w:rFonts w:ascii="宋体" w:hAnsi="宋体" w:eastAsia="宋体" w:cs="仿宋"/>
                <w:sz w:val="21"/>
                <w:szCs w:val="21"/>
              </w:rPr>
            </w:pPr>
          </w:p>
        </w:tc>
        <w:tc>
          <w:tcPr>
            <w:tcW w:w="2062"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2816" w:type="dxa"/>
            <w:vAlign w:val="center"/>
          </w:tcPr>
          <w:p>
            <w:pPr>
              <w:pStyle w:val="40"/>
              <w:jc w:val="center"/>
              <w:rPr>
                <w:rFonts w:ascii="宋体" w:hAnsi="宋体" w:eastAsia="宋体" w:cs="仿宋"/>
                <w:sz w:val="21"/>
                <w:szCs w:val="21"/>
              </w:rPr>
            </w:pPr>
          </w:p>
        </w:tc>
        <w:tc>
          <w:tcPr>
            <w:tcW w:w="2062"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2816" w:type="dxa"/>
            <w:vAlign w:val="center"/>
          </w:tcPr>
          <w:p>
            <w:pPr>
              <w:pStyle w:val="40"/>
              <w:jc w:val="center"/>
              <w:rPr>
                <w:rFonts w:ascii="宋体" w:hAnsi="宋体" w:eastAsia="宋体" w:cs="仿宋"/>
                <w:sz w:val="21"/>
                <w:szCs w:val="21"/>
              </w:rPr>
            </w:pPr>
          </w:p>
        </w:tc>
        <w:tc>
          <w:tcPr>
            <w:tcW w:w="2062"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2816" w:type="dxa"/>
            <w:vAlign w:val="center"/>
          </w:tcPr>
          <w:p>
            <w:pPr>
              <w:pStyle w:val="40"/>
              <w:jc w:val="center"/>
              <w:rPr>
                <w:rFonts w:ascii="宋体" w:hAnsi="宋体" w:eastAsia="宋体" w:cs="仿宋"/>
                <w:sz w:val="21"/>
                <w:szCs w:val="21"/>
              </w:rPr>
            </w:pPr>
          </w:p>
        </w:tc>
        <w:tc>
          <w:tcPr>
            <w:tcW w:w="2062"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2816" w:type="dxa"/>
            <w:vAlign w:val="center"/>
          </w:tcPr>
          <w:p>
            <w:pPr>
              <w:pStyle w:val="40"/>
              <w:jc w:val="center"/>
              <w:rPr>
                <w:rFonts w:ascii="宋体" w:hAnsi="宋体" w:eastAsia="宋体" w:cs="仿宋"/>
                <w:sz w:val="21"/>
                <w:szCs w:val="21"/>
              </w:rPr>
            </w:pPr>
          </w:p>
        </w:tc>
        <w:tc>
          <w:tcPr>
            <w:tcW w:w="2062"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2816" w:type="dxa"/>
            <w:vAlign w:val="center"/>
          </w:tcPr>
          <w:p>
            <w:pPr>
              <w:pStyle w:val="40"/>
              <w:jc w:val="center"/>
              <w:rPr>
                <w:rFonts w:ascii="宋体" w:hAnsi="宋体" w:eastAsia="宋体" w:cs="仿宋"/>
                <w:sz w:val="21"/>
                <w:szCs w:val="21"/>
              </w:rPr>
            </w:pPr>
          </w:p>
        </w:tc>
        <w:tc>
          <w:tcPr>
            <w:tcW w:w="2062"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2816" w:type="dxa"/>
            <w:vAlign w:val="center"/>
          </w:tcPr>
          <w:p>
            <w:pPr>
              <w:pStyle w:val="40"/>
              <w:jc w:val="center"/>
              <w:rPr>
                <w:rFonts w:ascii="宋体" w:hAnsi="宋体" w:eastAsia="宋体" w:cs="仿宋"/>
                <w:sz w:val="21"/>
                <w:szCs w:val="21"/>
              </w:rPr>
            </w:pPr>
          </w:p>
        </w:tc>
        <w:tc>
          <w:tcPr>
            <w:tcW w:w="2062"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2816" w:type="dxa"/>
            <w:vAlign w:val="center"/>
          </w:tcPr>
          <w:p>
            <w:pPr>
              <w:pStyle w:val="40"/>
              <w:jc w:val="center"/>
              <w:rPr>
                <w:rFonts w:ascii="宋体" w:hAnsi="宋体" w:eastAsia="宋体" w:cs="仿宋"/>
                <w:sz w:val="21"/>
                <w:szCs w:val="21"/>
              </w:rPr>
            </w:pPr>
          </w:p>
        </w:tc>
        <w:tc>
          <w:tcPr>
            <w:tcW w:w="2062" w:type="dxa"/>
            <w:vAlign w:val="center"/>
          </w:tcPr>
          <w:p>
            <w:pPr>
              <w:pStyle w:val="40"/>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项目名称</w:t>
            </w:r>
          </w:p>
        </w:tc>
        <w:tc>
          <w:tcPr>
            <w:tcW w:w="6345"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投标报价</w:t>
            </w:r>
          </w:p>
        </w:tc>
        <w:tc>
          <w:tcPr>
            <w:tcW w:w="6345" w:type="dxa"/>
            <w:vAlign w:val="center"/>
          </w:tcPr>
          <w:p>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服务周期</w:t>
            </w:r>
          </w:p>
        </w:tc>
        <w:tc>
          <w:tcPr>
            <w:tcW w:w="6345"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备    注</w:t>
            </w:r>
          </w:p>
        </w:tc>
        <w:tc>
          <w:tcPr>
            <w:tcW w:w="6345" w:type="dxa"/>
            <w:vAlign w:val="center"/>
          </w:tcPr>
          <w:p>
            <w:pPr>
              <w:rPr>
                <w:rFonts w:ascii="宋体" w:hAnsi="宋体" w:eastAsia="宋体" w:cs="仿宋"/>
                <w:sz w:val="24"/>
                <w:szCs w:val="24"/>
              </w:rPr>
            </w:pPr>
          </w:p>
        </w:tc>
      </w:tr>
    </w:tbl>
    <w:p>
      <w:pPr>
        <w:rPr>
          <w:rFonts w:ascii="宋体" w:hAnsi="宋体" w:eastAsia="宋体"/>
        </w:rPr>
      </w:pPr>
    </w:p>
    <w:p>
      <w:pPr>
        <w:pStyle w:val="19"/>
        <w:rPr>
          <w:rFonts w:eastAsia="宋体"/>
        </w:rPr>
      </w:pPr>
    </w:p>
    <w:p>
      <w:pPr>
        <w:pStyle w:val="19"/>
        <w:rPr>
          <w:rFonts w:eastAsia="宋体"/>
        </w:rPr>
      </w:pPr>
    </w:p>
    <w:p>
      <w:pPr>
        <w:pStyle w:val="19"/>
        <w:rPr>
          <w:rFonts w:eastAsia="宋体"/>
        </w:rPr>
      </w:pPr>
    </w:p>
    <w:p>
      <w:pPr>
        <w:pStyle w:val="19"/>
        <w:rPr>
          <w:rFonts w:eastAsia="宋体"/>
        </w:rPr>
      </w:pPr>
    </w:p>
    <w:p>
      <w:pPr>
        <w:pStyle w:val="19"/>
        <w:rPr>
          <w:rFonts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5"/>
        </w:numPr>
        <w:spacing w:before="0" w:after="0" w:line="240" w:lineRule="auto"/>
        <w:jc w:val="center"/>
        <w:rPr>
          <w:rFonts w:ascii="宋体" w:hAnsi="宋体" w:eastAsia="宋体"/>
          <w:color w:val="000000"/>
          <w:sz w:val="36"/>
          <w:szCs w:val="36"/>
        </w:rPr>
      </w:pPr>
      <w:bookmarkStart w:id="31" w:name="_Toc13707"/>
      <w:bookmarkStart w:id="32" w:name="_Toc31585"/>
      <w:bookmarkStart w:id="33" w:name="_Toc26179"/>
      <w:r>
        <w:rPr>
          <w:rFonts w:hint="eastAsia" w:ascii="宋体" w:hAnsi="宋体" w:eastAsia="宋体"/>
          <w:color w:val="000000"/>
          <w:sz w:val="36"/>
          <w:szCs w:val="36"/>
        </w:rPr>
        <w:t>采购合同条款（草案）</w:t>
      </w:r>
      <w:bookmarkEnd w:id="31"/>
      <w:bookmarkEnd w:id="32"/>
      <w:bookmarkEnd w:id="33"/>
    </w:p>
    <w:p>
      <w:pPr>
        <w:rPr>
          <w:rFonts w:ascii="宋体" w:hAnsi="宋体" w:eastAsia="宋体" w:cs="仿宋"/>
          <w:sz w:val="24"/>
          <w:szCs w:val="24"/>
        </w:rPr>
      </w:pPr>
    </w:p>
    <w:p>
      <w:pPr>
        <w:pStyle w:val="57"/>
        <w:shd w:val="clear" w:color="auto" w:fill="FFFFFF"/>
        <w:spacing w:before="0" w:beforeAutospacing="0" w:after="0" w:afterAutospacing="0" w:line="360" w:lineRule="auto"/>
        <w:jc w:val="center"/>
        <w:rPr>
          <w:rFonts w:cstheme="minorBidi"/>
          <w:b/>
          <w:bCs/>
          <w:kern w:val="2"/>
        </w:rPr>
      </w:pPr>
      <w:r>
        <w:rPr>
          <w:rFonts w:hint="eastAsia" w:cstheme="minorBidi"/>
          <w:b/>
          <w:bCs/>
          <w:kern w:val="2"/>
        </w:rPr>
        <w:t>2024年度计算机办公设备耗材采购合同（草案）</w:t>
      </w:r>
    </w:p>
    <w:p>
      <w:pPr>
        <w:pStyle w:val="57"/>
        <w:shd w:val="clear" w:color="auto" w:fill="FFFFFF"/>
        <w:spacing w:before="0" w:beforeAutospacing="0" w:after="0" w:afterAutospacing="0" w:line="360" w:lineRule="auto"/>
        <w:rPr>
          <w:rFonts w:cstheme="minorBidi"/>
          <w:kern w:val="2"/>
        </w:rPr>
      </w:pPr>
    </w:p>
    <w:p>
      <w:pPr>
        <w:pStyle w:val="57"/>
        <w:shd w:val="clear" w:color="auto" w:fill="FFFFFF"/>
        <w:spacing w:before="0" w:beforeAutospacing="0" w:after="0" w:afterAutospacing="0" w:line="360" w:lineRule="auto"/>
        <w:rPr>
          <w:rFonts w:cstheme="minorBidi"/>
          <w:kern w:val="2"/>
        </w:rPr>
      </w:pPr>
      <w:r>
        <w:rPr>
          <w:rFonts w:hint="eastAsia" w:cstheme="minorBidi"/>
          <w:kern w:val="2"/>
        </w:rPr>
        <w:t>甲方：四川铁道职业学院</w:t>
      </w:r>
    </w:p>
    <w:p>
      <w:pPr>
        <w:pStyle w:val="57"/>
        <w:shd w:val="clear" w:color="auto" w:fill="FFFFFF"/>
        <w:spacing w:before="0" w:beforeAutospacing="0" w:after="0" w:afterAutospacing="0" w:line="360" w:lineRule="auto"/>
        <w:rPr>
          <w:rFonts w:cstheme="minorBidi"/>
          <w:kern w:val="2"/>
        </w:rPr>
      </w:pPr>
      <w:r>
        <w:rPr>
          <w:rFonts w:hint="eastAsia" w:cstheme="minorBidi"/>
          <w:kern w:val="2"/>
        </w:rPr>
        <w:t xml:space="preserve">乙方： </w:t>
      </w:r>
    </w:p>
    <w:p>
      <w:pPr>
        <w:pStyle w:val="57"/>
        <w:shd w:val="clear" w:color="auto" w:fill="FFFFFF"/>
        <w:spacing w:before="0" w:beforeAutospacing="0" w:after="0" w:afterAutospacing="0" w:line="360" w:lineRule="auto"/>
        <w:rPr>
          <w:rFonts w:cstheme="minorBidi"/>
          <w:kern w:val="2"/>
        </w:rPr>
      </w:pPr>
      <w:r>
        <w:rPr>
          <w:rFonts w:hint="eastAsia" w:cstheme="minorBidi"/>
          <w:kern w:val="2"/>
        </w:rPr>
        <w:t xml:space="preserve">  根据《中华人民共和国民法典》《中华人民共和国政府采购法》及四川铁道职业学院“2024年度计算机办公设备耗材采购”项目的《招标文件》、乙方的《投标文件》及《中标通知书》要求，经甲、乙双方同意签订本合同。本项目的招标文件、投标文件等均为本合同不可分割的部分，双方同意共同遵守如下条款： </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一、合同名称：2024年度计算机办公设备耗材采购</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二、送货地点：四川铁道职业学院校园内或甲方指定地点</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三、报价及支付</w:t>
      </w:r>
    </w:p>
    <w:p>
      <w:pPr>
        <w:spacing w:line="360" w:lineRule="auto"/>
        <w:ind w:firstLine="480" w:firstLineChars="200"/>
        <w:jc w:val="left"/>
        <w:rPr>
          <w:rFonts w:ascii="宋体" w:hAnsi="宋体" w:eastAsia="宋体"/>
          <w:sz w:val="24"/>
        </w:rPr>
      </w:pPr>
      <w:r>
        <w:rPr>
          <w:rFonts w:hint="eastAsia" w:ascii="宋体" w:hAnsi="宋体" w:eastAsia="宋体"/>
          <w:sz w:val="24"/>
        </w:rPr>
        <w:t>1、固定综合单价，详见投标文件《分项报价明细表》：本项目根据实际采购量据实结算，实际结算=Σ设备耗材报价*设备耗材实际使用量；甲方在验收货物合格且收到乙方提供相应正式发票后15个工作日内进行支付。每次送货后由甲方代表现场签单确认送货数量；货款原则上每三个月结算并付款一次。《分项报价明细表》之报价已包含税金、送货费、维修费等全部费用，除报价外，甲方不另行支付任何费用。</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2、《分项报价明细表》中未报价的设备耗材，以提出设备耗材供货需求当日的京东商城自营同品名设备耗材的价格为最高限价，由乙方根据设备耗材具体内容进行报价，经甲方审核定价后进行设备耗材供货。</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四、质量要求</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1、乙方必须提供全新的产品且权属清楚。</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2、货物必须符合或优于国家（行业）标准以及本项目招标文件的质量要求、技术指标和出厂标准。</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五、合同周期：自合同签订之日起壹年，乙方保证报价一个合同周期（壹年）内不变。</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六、送货及验收要求</w:t>
      </w:r>
    </w:p>
    <w:p>
      <w:pPr>
        <w:pStyle w:val="57"/>
        <w:shd w:val="clear" w:color="auto" w:fill="FFFFFF"/>
        <w:spacing w:before="0" w:beforeAutospacing="0" w:after="0" w:afterAutospacing="0" w:line="360" w:lineRule="auto"/>
        <w:ind w:firstLine="480" w:firstLineChars="200"/>
        <w:rPr>
          <w:rFonts w:hint="eastAsia" w:eastAsia="宋体" w:cstheme="minorBidi"/>
          <w:kern w:val="2"/>
          <w:lang w:eastAsia="zh-CN"/>
        </w:rPr>
      </w:pPr>
      <w:r>
        <w:rPr>
          <w:rFonts w:hint="eastAsia" w:cstheme="minorBidi"/>
          <w:kern w:val="2"/>
        </w:rPr>
        <w:t>1、送货要求：接到甲方设备耗材供货通知后应在2个工作日内将耗材送达学校后勤国资处库房或甲方指定的收货地点，如有紧急供货需求，接到甲方设备耗材供货通知后应在4个小时内送达学校后勤国资处库房或甲方指定的收货地点，期间产生交通或运输费用由乙方承担。确保通讯工具24小时开通，在需要时能够执行校方的送货要求</w:t>
      </w:r>
      <w:r>
        <w:rPr>
          <w:rFonts w:hint="eastAsia" w:cstheme="minorBidi"/>
          <w:kern w:val="2"/>
          <w:lang w:eastAsia="zh-CN"/>
        </w:rPr>
        <w:t>。</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2、验收由甲方组织，乙方配合进行</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（1）货物在乙方送货完成后20日内完成验收。</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（2）货物应符合国家（行业）标准以及本项目招标文件的质量要求、技术指标和出厂标准。</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3）验收时发现交付的货物有短装、次品、损坏或其它不符合标准及本合同规定之情形者，甲方做好现场记录，此现场记录可用作补充缺失和更换损坏部件的有效证据，乙方应按甲方要求负责补充或更换，交货及验收期限不因此顺延，由此产生的时间延误及一切费用由乙方承担。</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（4）如果设备耗材供货有三次以上服务问题（如设备耗材质量不达标，配送时间超过招标规定时间1天等情况)甲方有权终止合同。</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（5）货品验收合格后，由双方共同签署验收报告。</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六、售后服务</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1、计算机办公设备耗材保修期限为1年，乙方承诺为甲方提供原厂保修服务，服务期限为最终验收合格之日起计算原厂保修期限，如原厂未承诺保修服务期限或服务期限少于1年，则乙方承诺在合同期限内耗材享受同等保修服务。</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2、乙方接到甲方保修服务要求后应在24小时内到达现场处理维修，如遇返厂维修情况，乙方应提供备用设备。</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七、责任范围</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1、甲方责任</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（1）甲方无正当理由拒收货物，经乙方书面催告之日15天仍然拒收的，乙方有权单方面终止合同，甲方还应向乙方偿付每逾期一天应承担货款日万分之五的违约金。</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（2）甲方偿付的违约金不足以弥补乙方损失的，还应按乙方损失尚未弥补的部分据实赔偿乙方。</w:t>
      </w:r>
    </w:p>
    <w:p>
      <w:pPr>
        <w:pStyle w:val="57"/>
        <w:shd w:val="clear" w:color="auto" w:fill="FFFFFF"/>
        <w:spacing w:before="0" w:beforeAutospacing="0" w:after="0" w:afterAutospacing="0" w:line="360" w:lineRule="auto"/>
        <w:rPr>
          <w:rFonts w:cstheme="minorBidi"/>
          <w:kern w:val="2"/>
        </w:rPr>
      </w:pPr>
      <w:r>
        <w:rPr>
          <w:rFonts w:hint="eastAsia" w:cstheme="minorBidi"/>
          <w:kern w:val="2"/>
        </w:rPr>
        <w:t>   2、乙方的责任</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（1）乙方交付的货物质量不合格的，须在合同约定的交货时间或甲方要求的时间内更换合格的货物，交货及验收期限不因此顺延。乙方应根据货物的具体情况负责补齐、包换，并承担更换的所有费用。</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2）乙方逾期交付货物，除应及时补足货物以外还，乙方还应向甲方偿付每逾期一天应承担货款日万分之五的违约金。单次逾期交货超过10天或逾期交货三次以上甲方有权单方面终止合同，乙方偿付的违约金不足以弥补甲方损失的，还应按甲方损失尚未弥补的部分据实赔偿甲方。</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（3）乙方保证所提供货物在交付甲方前的权属归乙方所有，包括货物所有权及知识产权等。</w:t>
      </w:r>
    </w:p>
    <w:p>
      <w:pPr>
        <w:pStyle w:val="57"/>
        <w:shd w:val="clear" w:color="auto" w:fill="FFFFFF"/>
        <w:spacing w:before="0" w:beforeAutospacing="0" w:after="0" w:afterAutospacing="0" w:line="360" w:lineRule="auto"/>
        <w:ind w:firstLine="480" w:firstLineChars="200"/>
        <w:rPr>
          <w:rFonts w:cstheme="minorBidi"/>
          <w:kern w:val="2"/>
        </w:rPr>
      </w:pPr>
      <w:r>
        <w:rPr>
          <w:rFonts w:hint="eastAsia" w:cstheme="minorBidi"/>
          <w:kern w:val="2"/>
        </w:rPr>
        <w:t>（4）乙方违约，甲方为实现权利而产生的一切费用由乙方承担。</w:t>
      </w:r>
    </w:p>
    <w:p>
      <w:pPr>
        <w:pStyle w:val="57"/>
        <w:shd w:val="clear" w:color="auto" w:fill="FFFFFF"/>
        <w:spacing w:before="0" w:beforeAutospacing="0" w:after="0" w:afterAutospacing="0" w:line="360" w:lineRule="auto"/>
        <w:rPr>
          <w:rFonts w:cstheme="minorBidi"/>
          <w:kern w:val="2"/>
        </w:rPr>
      </w:pPr>
      <w:r>
        <w:rPr>
          <w:rFonts w:hint="eastAsia" w:cstheme="minorBidi"/>
          <w:kern w:val="2"/>
        </w:rPr>
        <w:t>  八、其他事项</w:t>
      </w:r>
    </w:p>
    <w:p>
      <w:pPr>
        <w:pStyle w:val="57"/>
        <w:shd w:val="clear" w:color="auto" w:fill="FFFFFF"/>
        <w:spacing w:before="0" w:beforeAutospacing="0" w:after="0" w:afterAutospacing="0" w:line="360" w:lineRule="auto"/>
        <w:rPr>
          <w:rFonts w:cstheme="minorBidi"/>
          <w:kern w:val="2"/>
        </w:rPr>
      </w:pPr>
      <w:r>
        <w:rPr>
          <w:rFonts w:hint="eastAsia" w:cstheme="minorBidi"/>
          <w:kern w:val="2"/>
        </w:rPr>
        <w:t>  1、本合同未尽事宜，双方另行签订补充协议，补充协议具有同等法律效力。</w:t>
      </w:r>
    </w:p>
    <w:p>
      <w:pPr>
        <w:pStyle w:val="57"/>
        <w:shd w:val="clear" w:color="auto" w:fill="FFFFFF"/>
        <w:spacing w:before="0" w:beforeAutospacing="0" w:after="0" w:afterAutospacing="0" w:line="360" w:lineRule="auto"/>
        <w:rPr>
          <w:rFonts w:cstheme="minorBidi"/>
          <w:kern w:val="2"/>
        </w:rPr>
      </w:pPr>
      <w:r>
        <w:rPr>
          <w:rFonts w:hint="eastAsia" w:cstheme="minorBidi"/>
          <w:kern w:val="2"/>
        </w:rPr>
        <w:t xml:space="preserve">    2、在履行合同中如发生争议，双方协商解决，协商不成的可向甲方所在地人民法院起诉。</w:t>
      </w:r>
    </w:p>
    <w:p>
      <w:pPr>
        <w:pStyle w:val="57"/>
        <w:shd w:val="clear" w:color="auto" w:fill="FFFFFF"/>
        <w:spacing w:before="0" w:beforeAutospacing="0" w:after="0" w:afterAutospacing="0" w:line="360" w:lineRule="auto"/>
        <w:rPr>
          <w:rFonts w:cstheme="minorBidi"/>
          <w:kern w:val="2"/>
        </w:rPr>
      </w:pPr>
      <w:r>
        <w:rPr>
          <w:rFonts w:hint="eastAsia" w:cstheme="minorBidi"/>
          <w:kern w:val="2"/>
        </w:rPr>
        <w:t>  3、本合同一式柒份，甲方执陆份，乙方执壹份，经双方签字并盖章后生效。</w:t>
      </w:r>
    </w:p>
    <w:p>
      <w:pPr>
        <w:pStyle w:val="57"/>
        <w:shd w:val="clear" w:color="auto" w:fill="FFFFFF"/>
        <w:spacing w:before="0" w:beforeAutospacing="0" w:after="0" w:afterAutospacing="0" w:line="360" w:lineRule="auto"/>
        <w:rPr>
          <w:rFonts w:cstheme="minorBidi"/>
          <w:kern w:val="2"/>
        </w:rPr>
      </w:pPr>
      <w:r>
        <w:rPr>
          <w:rFonts w:hint="eastAsia" w:cstheme="minorBidi"/>
          <w:kern w:val="2"/>
        </w:rPr>
        <w:t xml:space="preserve">    4、本合同项下任何一方或司法机关向对方发出的通知、信件、数据电文等，应当发送至本合同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pPr>
        <w:pStyle w:val="57"/>
        <w:shd w:val="clear" w:color="auto" w:fill="FFFFFF"/>
        <w:spacing w:before="0" w:beforeAutospacing="0" w:after="0" w:afterAutospacing="0"/>
        <w:rPr>
          <w:rFonts w:cstheme="minorBidi"/>
          <w:kern w:val="2"/>
        </w:rPr>
      </w:pPr>
    </w:p>
    <w:p>
      <w:pPr>
        <w:pStyle w:val="57"/>
        <w:shd w:val="clear" w:color="auto" w:fill="FFFFFF"/>
        <w:spacing w:before="0" w:beforeAutospacing="0" w:after="0" w:afterAutospacing="0"/>
        <w:rPr>
          <w:rFonts w:cstheme="minorBidi"/>
          <w:kern w:val="2"/>
        </w:rPr>
      </w:pPr>
    </w:p>
    <w:p>
      <w:pPr>
        <w:pStyle w:val="57"/>
        <w:shd w:val="clear" w:color="auto" w:fill="FFFFFF"/>
        <w:spacing w:before="0" w:beforeAutospacing="0" w:after="0" w:afterAutospacing="0"/>
        <w:rPr>
          <w:rFonts w:cstheme="minorBidi"/>
          <w:kern w:val="2"/>
        </w:rPr>
      </w:pPr>
      <w:r>
        <w:rPr>
          <w:rFonts w:hint="eastAsia" w:cstheme="minorBidi"/>
          <w:kern w:val="2"/>
        </w:rPr>
        <w:t>甲方： （公章）                          乙方：（公章）</w:t>
      </w:r>
    </w:p>
    <w:p>
      <w:pPr>
        <w:pStyle w:val="57"/>
        <w:shd w:val="clear" w:color="auto" w:fill="FFFFFF"/>
        <w:spacing w:before="0" w:beforeAutospacing="0" w:after="0" w:afterAutospacing="0"/>
        <w:rPr>
          <w:rFonts w:cstheme="minorBidi"/>
          <w:kern w:val="2"/>
        </w:rPr>
      </w:pPr>
      <w:r>
        <w:rPr>
          <w:rFonts w:hint="eastAsia" w:cstheme="minorBidi"/>
          <w:kern w:val="2"/>
        </w:rPr>
        <w:t>法定代表人或委托人：                     法定代表人或委托人：</w:t>
      </w:r>
    </w:p>
    <w:p>
      <w:pPr>
        <w:pStyle w:val="57"/>
        <w:shd w:val="clear" w:color="auto" w:fill="FFFFFF"/>
        <w:spacing w:before="0" w:beforeAutospacing="0" w:after="0" w:afterAutospacing="0"/>
        <w:rPr>
          <w:rFonts w:cstheme="minorBidi"/>
          <w:kern w:val="2"/>
        </w:rPr>
      </w:pPr>
      <w:r>
        <w:rPr>
          <w:rFonts w:hint="eastAsia" w:cstheme="minorBidi"/>
          <w:kern w:val="2"/>
        </w:rPr>
        <w:t>开户行及账号：                           开户行及账号：</w:t>
      </w:r>
    </w:p>
    <w:p>
      <w:pPr>
        <w:pStyle w:val="57"/>
        <w:shd w:val="clear" w:color="auto" w:fill="FFFFFF"/>
        <w:spacing w:before="0" w:beforeAutospacing="0" w:after="0" w:afterAutospacing="0"/>
        <w:rPr>
          <w:rFonts w:cstheme="minorBidi"/>
          <w:kern w:val="2"/>
        </w:rPr>
      </w:pPr>
      <w:r>
        <w:rPr>
          <w:rFonts w:hint="eastAsia" w:cstheme="minorBidi"/>
          <w:kern w:val="2"/>
        </w:rPr>
        <w:t>地址：                                   地址：</w:t>
      </w:r>
    </w:p>
    <w:p>
      <w:pPr>
        <w:pStyle w:val="57"/>
        <w:shd w:val="clear" w:color="auto" w:fill="FFFFFF"/>
        <w:spacing w:before="0" w:beforeAutospacing="0" w:after="0" w:afterAutospacing="0"/>
        <w:rPr>
          <w:rFonts w:cstheme="minorBidi"/>
          <w:kern w:val="2"/>
        </w:rPr>
      </w:pPr>
      <w:r>
        <w:rPr>
          <w:rFonts w:hint="eastAsia" w:cstheme="minorBidi"/>
          <w:kern w:val="2"/>
        </w:rPr>
        <w:t xml:space="preserve">联系电话 ：                              联系电话：                        </w:t>
      </w:r>
    </w:p>
    <w:p>
      <w:pPr>
        <w:pStyle w:val="57"/>
        <w:shd w:val="clear" w:color="auto" w:fill="FFFFFF"/>
        <w:spacing w:before="0" w:beforeAutospacing="0" w:after="0" w:afterAutospacing="0"/>
        <w:rPr>
          <w:rFonts w:cstheme="minorBidi"/>
          <w:kern w:val="2"/>
        </w:rPr>
      </w:pPr>
      <w:r>
        <w:rPr>
          <w:rFonts w:hint="eastAsia" w:cstheme="minorBidi"/>
          <w:kern w:val="2"/>
        </w:rPr>
        <w:t>年  月  日                               年  月  日</w:t>
      </w:r>
    </w:p>
    <w:p>
      <w:pPr>
        <w:rPr>
          <w:rFonts w:ascii="宋体" w:hAnsi="宋体" w:eastAsia="宋体"/>
          <w:sz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1">
    <w:nsid w:val="F37FCBF2"/>
    <w:multiLevelType w:val="singleLevel"/>
    <w:tmpl w:val="F37FCBF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87BD6"/>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07988"/>
    <w:rsid w:val="004318DE"/>
    <w:rsid w:val="00440DEA"/>
    <w:rsid w:val="00465DB1"/>
    <w:rsid w:val="00492A62"/>
    <w:rsid w:val="004A0014"/>
    <w:rsid w:val="004D029F"/>
    <w:rsid w:val="004E4695"/>
    <w:rsid w:val="004F5587"/>
    <w:rsid w:val="00505F07"/>
    <w:rsid w:val="00542BBB"/>
    <w:rsid w:val="00561913"/>
    <w:rsid w:val="00563636"/>
    <w:rsid w:val="00573DC2"/>
    <w:rsid w:val="005A403D"/>
    <w:rsid w:val="0060271B"/>
    <w:rsid w:val="00643ADE"/>
    <w:rsid w:val="006544EC"/>
    <w:rsid w:val="006556EA"/>
    <w:rsid w:val="00667426"/>
    <w:rsid w:val="006A3D57"/>
    <w:rsid w:val="006B5D0A"/>
    <w:rsid w:val="006C3663"/>
    <w:rsid w:val="0070549E"/>
    <w:rsid w:val="0076483D"/>
    <w:rsid w:val="007778BD"/>
    <w:rsid w:val="007B6243"/>
    <w:rsid w:val="007E7A49"/>
    <w:rsid w:val="007F0BFD"/>
    <w:rsid w:val="00856815"/>
    <w:rsid w:val="008613D5"/>
    <w:rsid w:val="0087401B"/>
    <w:rsid w:val="00885EE5"/>
    <w:rsid w:val="008E5B26"/>
    <w:rsid w:val="00957BCC"/>
    <w:rsid w:val="009762EB"/>
    <w:rsid w:val="00985A74"/>
    <w:rsid w:val="009A2F96"/>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B6CE9"/>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08E7"/>
    <w:rsid w:val="00E85DDD"/>
    <w:rsid w:val="00EB5667"/>
    <w:rsid w:val="00EC7A71"/>
    <w:rsid w:val="00F34F45"/>
    <w:rsid w:val="00F3744A"/>
    <w:rsid w:val="00F53C48"/>
    <w:rsid w:val="00F92308"/>
    <w:rsid w:val="00F934B2"/>
    <w:rsid w:val="00FD4A63"/>
    <w:rsid w:val="00FF16C2"/>
    <w:rsid w:val="02810D87"/>
    <w:rsid w:val="03EA43FF"/>
    <w:rsid w:val="046D4368"/>
    <w:rsid w:val="049A5E25"/>
    <w:rsid w:val="0514269A"/>
    <w:rsid w:val="06202F55"/>
    <w:rsid w:val="06641F4F"/>
    <w:rsid w:val="06E93094"/>
    <w:rsid w:val="07456745"/>
    <w:rsid w:val="07BD3408"/>
    <w:rsid w:val="07F55C66"/>
    <w:rsid w:val="09526CCE"/>
    <w:rsid w:val="09657974"/>
    <w:rsid w:val="09907D5D"/>
    <w:rsid w:val="09C17C7E"/>
    <w:rsid w:val="0A73514E"/>
    <w:rsid w:val="0B6E6F2E"/>
    <w:rsid w:val="0C42414C"/>
    <w:rsid w:val="0C4F1790"/>
    <w:rsid w:val="0CAD2A44"/>
    <w:rsid w:val="0D673740"/>
    <w:rsid w:val="0D6E60A1"/>
    <w:rsid w:val="0D9B678E"/>
    <w:rsid w:val="0E945864"/>
    <w:rsid w:val="0EC57F43"/>
    <w:rsid w:val="0ED61EC0"/>
    <w:rsid w:val="0EDF1DD1"/>
    <w:rsid w:val="0F462A38"/>
    <w:rsid w:val="0FC81DF4"/>
    <w:rsid w:val="0FD06E2E"/>
    <w:rsid w:val="0FD3751C"/>
    <w:rsid w:val="100D35AF"/>
    <w:rsid w:val="1032785A"/>
    <w:rsid w:val="10BC5375"/>
    <w:rsid w:val="13C702B9"/>
    <w:rsid w:val="14BC5944"/>
    <w:rsid w:val="14F766D0"/>
    <w:rsid w:val="15E11B06"/>
    <w:rsid w:val="15E74C42"/>
    <w:rsid w:val="176127D3"/>
    <w:rsid w:val="1A78230D"/>
    <w:rsid w:val="1A8C7C0A"/>
    <w:rsid w:val="1B487F31"/>
    <w:rsid w:val="1BF84678"/>
    <w:rsid w:val="1C850D11"/>
    <w:rsid w:val="1D75282A"/>
    <w:rsid w:val="1DD16C05"/>
    <w:rsid w:val="1E0F6736"/>
    <w:rsid w:val="1E3D5D47"/>
    <w:rsid w:val="1E6A5E28"/>
    <w:rsid w:val="1E877922"/>
    <w:rsid w:val="1EAA20B1"/>
    <w:rsid w:val="1EF8161D"/>
    <w:rsid w:val="20062169"/>
    <w:rsid w:val="20416BE0"/>
    <w:rsid w:val="21225287"/>
    <w:rsid w:val="21690C01"/>
    <w:rsid w:val="21E549B1"/>
    <w:rsid w:val="22022E9B"/>
    <w:rsid w:val="22456F79"/>
    <w:rsid w:val="229677D4"/>
    <w:rsid w:val="23BC14BC"/>
    <w:rsid w:val="23C46957"/>
    <w:rsid w:val="23D64948"/>
    <w:rsid w:val="240A34A1"/>
    <w:rsid w:val="244E0945"/>
    <w:rsid w:val="245C3FA4"/>
    <w:rsid w:val="25F9028E"/>
    <w:rsid w:val="261C4494"/>
    <w:rsid w:val="27D61735"/>
    <w:rsid w:val="28575047"/>
    <w:rsid w:val="2AEF3F25"/>
    <w:rsid w:val="2B2670A9"/>
    <w:rsid w:val="2BAE1E0F"/>
    <w:rsid w:val="2C360BA1"/>
    <w:rsid w:val="2C462709"/>
    <w:rsid w:val="2C5A7AC4"/>
    <w:rsid w:val="2C901738"/>
    <w:rsid w:val="2FA51FF8"/>
    <w:rsid w:val="302C0287"/>
    <w:rsid w:val="3075353C"/>
    <w:rsid w:val="30E31275"/>
    <w:rsid w:val="32453CEA"/>
    <w:rsid w:val="32F25DB3"/>
    <w:rsid w:val="33504359"/>
    <w:rsid w:val="33583063"/>
    <w:rsid w:val="34BC2E77"/>
    <w:rsid w:val="35E514C7"/>
    <w:rsid w:val="37BF5665"/>
    <w:rsid w:val="393F42CA"/>
    <w:rsid w:val="39617102"/>
    <w:rsid w:val="39DF785B"/>
    <w:rsid w:val="3A3B6D2D"/>
    <w:rsid w:val="3AC84793"/>
    <w:rsid w:val="3B0A3DA1"/>
    <w:rsid w:val="3B245E6D"/>
    <w:rsid w:val="3F3B3785"/>
    <w:rsid w:val="3FAF1604"/>
    <w:rsid w:val="40155D85"/>
    <w:rsid w:val="4048214A"/>
    <w:rsid w:val="4075369B"/>
    <w:rsid w:val="40D5722F"/>
    <w:rsid w:val="414334DE"/>
    <w:rsid w:val="41BE0DD7"/>
    <w:rsid w:val="42174B0E"/>
    <w:rsid w:val="43AA2C88"/>
    <w:rsid w:val="43C81360"/>
    <w:rsid w:val="43EB3251"/>
    <w:rsid w:val="446A056C"/>
    <w:rsid w:val="44990322"/>
    <w:rsid w:val="46113492"/>
    <w:rsid w:val="466C691A"/>
    <w:rsid w:val="47B265C4"/>
    <w:rsid w:val="47B57904"/>
    <w:rsid w:val="48730996"/>
    <w:rsid w:val="48D83DF3"/>
    <w:rsid w:val="4A88019B"/>
    <w:rsid w:val="4ADC2FC7"/>
    <w:rsid w:val="4B1120BD"/>
    <w:rsid w:val="4C044B15"/>
    <w:rsid w:val="4C4756D1"/>
    <w:rsid w:val="4D9549A9"/>
    <w:rsid w:val="506269CA"/>
    <w:rsid w:val="508F56DF"/>
    <w:rsid w:val="50F03D6F"/>
    <w:rsid w:val="51151866"/>
    <w:rsid w:val="5261632C"/>
    <w:rsid w:val="54A61249"/>
    <w:rsid w:val="551B5E9C"/>
    <w:rsid w:val="55986E64"/>
    <w:rsid w:val="56875B46"/>
    <w:rsid w:val="57160F93"/>
    <w:rsid w:val="57AE464A"/>
    <w:rsid w:val="57D91936"/>
    <w:rsid w:val="57FA3D86"/>
    <w:rsid w:val="58022C3B"/>
    <w:rsid w:val="58D662E9"/>
    <w:rsid w:val="59611AB6"/>
    <w:rsid w:val="5994098E"/>
    <w:rsid w:val="5A8B67CF"/>
    <w:rsid w:val="5AB50438"/>
    <w:rsid w:val="5AC11CB2"/>
    <w:rsid w:val="5BC00E43"/>
    <w:rsid w:val="5BD415B9"/>
    <w:rsid w:val="5C384E7D"/>
    <w:rsid w:val="5C9D1184"/>
    <w:rsid w:val="5D1F2257"/>
    <w:rsid w:val="5E124648"/>
    <w:rsid w:val="60370C9F"/>
    <w:rsid w:val="60477D84"/>
    <w:rsid w:val="6149259A"/>
    <w:rsid w:val="62CA0DEA"/>
    <w:rsid w:val="62CC4313"/>
    <w:rsid w:val="62D80E8F"/>
    <w:rsid w:val="62E726F8"/>
    <w:rsid w:val="631A4CD5"/>
    <w:rsid w:val="63424833"/>
    <w:rsid w:val="65362175"/>
    <w:rsid w:val="65363F24"/>
    <w:rsid w:val="66054103"/>
    <w:rsid w:val="661A3845"/>
    <w:rsid w:val="663E15C8"/>
    <w:rsid w:val="66767926"/>
    <w:rsid w:val="671E7365"/>
    <w:rsid w:val="68554B6D"/>
    <w:rsid w:val="6AF14211"/>
    <w:rsid w:val="6B87372B"/>
    <w:rsid w:val="6BCB6C2E"/>
    <w:rsid w:val="6CB843E9"/>
    <w:rsid w:val="6F2A02A5"/>
    <w:rsid w:val="6F671833"/>
    <w:rsid w:val="6FC54822"/>
    <w:rsid w:val="6FDF3411"/>
    <w:rsid w:val="7016507D"/>
    <w:rsid w:val="708E13B0"/>
    <w:rsid w:val="70932B20"/>
    <w:rsid w:val="7104581E"/>
    <w:rsid w:val="715C2B37"/>
    <w:rsid w:val="7169441D"/>
    <w:rsid w:val="716A34FC"/>
    <w:rsid w:val="719467C3"/>
    <w:rsid w:val="71E2790D"/>
    <w:rsid w:val="72A7624D"/>
    <w:rsid w:val="73093CE5"/>
    <w:rsid w:val="732426AE"/>
    <w:rsid w:val="737A06DC"/>
    <w:rsid w:val="73E27DCB"/>
    <w:rsid w:val="74982505"/>
    <w:rsid w:val="74A425B0"/>
    <w:rsid w:val="75994A53"/>
    <w:rsid w:val="760F2C9B"/>
    <w:rsid w:val="765E4A8E"/>
    <w:rsid w:val="76782759"/>
    <w:rsid w:val="767F26A1"/>
    <w:rsid w:val="77C84947"/>
    <w:rsid w:val="78446BF0"/>
    <w:rsid w:val="7A911ED0"/>
    <w:rsid w:val="7ABD56E4"/>
    <w:rsid w:val="7AE1082E"/>
    <w:rsid w:val="7B001352"/>
    <w:rsid w:val="7CEC65E1"/>
    <w:rsid w:val="7EB905B6"/>
    <w:rsid w:val="7EFC4763"/>
    <w:rsid w:val="7F2D5F40"/>
    <w:rsid w:val="7F2F6AE8"/>
    <w:rsid w:val="7F8E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1"/>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2"/>
    <w:autoRedefine/>
    <w:qFormat/>
    <w:uiPriority w:val="0"/>
    <w:pPr>
      <w:keepNext/>
      <w:keepLines/>
      <w:spacing w:before="120" w:after="120"/>
      <w:outlineLvl w:val="2"/>
    </w:pPr>
    <w:rPr>
      <w:rFonts w:eastAsia="仿宋"/>
      <w:b/>
      <w:sz w:val="30"/>
    </w:rPr>
  </w:style>
  <w:style w:type="character" w:default="1" w:styleId="22">
    <w:name w:val="Default Paragraph Font"/>
    <w:semiHidden/>
    <w:unhideWhenUsed/>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4"/>
    <w:autoRedefine/>
    <w:qFormat/>
    <w:uiPriority w:val="0"/>
    <w:pPr>
      <w:jc w:val="left"/>
    </w:pPr>
  </w:style>
  <w:style w:type="paragraph" w:styleId="8">
    <w:name w:val="Body Text"/>
    <w:basedOn w:val="1"/>
    <w:next w:val="1"/>
    <w:link w:val="33"/>
    <w:autoRedefine/>
    <w:qFormat/>
    <w:uiPriority w:val="0"/>
    <w:pPr>
      <w:spacing w:after="120"/>
    </w:pPr>
  </w:style>
  <w:style w:type="paragraph" w:styleId="9">
    <w:name w:val="Body Text Indent"/>
    <w:basedOn w:val="1"/>
    <w:autoRedefine/>
    <w:qFormat/>
    <w:uiPriority w:val="0"/>
    <w:pPr>
      <w:ind w:firstLine="630"/>
    </w:pPr>
    <w:rPr>
      <w:rFonts w:ascii="Times New Roman"/>
      <w:sz w:val="32"/>
    </w:rPr>
  </w:style>
  <w:style w:type="paragraph" w:styleId="10">
    <w:name w:val="Plain Text"/>
    <w:basedOn w:val="1"/>
    <w:autoRedefine/>
    <w:qFormat/>
    <w:uiPriority w:val="0"/>
    <w:rPr>
      <w:rFonts w:hAnsi="Courier New"/>
    </w:rPr>
  </w:style>
  <w:style w:type="paragraph" w:styleId="11">
    <w:name w:val="Date"/>
    <w:basedOn w:val="1"/>
    <w:next w:val="1"/>
    <w:link w:val="48"/>
    <w:autoRedefine/>
    <w:semiHidden/>
    <w:unhideWhenUsed/>
    <w:qFormat/>
    <w:uiPriority w:val="99"/>
    <w:pPr>
      <w:ind w:left="100" w:leftChars="2500"/>
    </w:pPr>
  </w:style>
  <w:style w:type="paragraph" w:styleId="12">
    <w:name w:val="Body Text Indent 2"/>
    <w:basedOn w:val="1"/>
    <w:link w:val="35"/>
    <w:autoRedefine/>
    <w:qFormat/>
    <w:uiPriority w:val="0"/>
    <w:pPr>
      <w:ind w:firstLine="630"/>
    </w:pPr>
    <w:rPr>
      <w:sz w:val="32"/>
    </w:rPr>
  </w:style>
  <w:style w:type="paragraph" w:styleId="13">
    <w:name w:val="Balloon Text"/>
    <w:basedOn w:val="1"/>
    <w:link w:val="51"/>
    <w:autoRedefine/>
    <w:semiHidden/>
    <w:unhideWhenUsed/>
    <w:qFormat/>
    <w:uiPriority w:val="99"/>
    <w:rPr>
      <w:sz w:val="18"/>
      <w:szCs w:val="18"/>
    </w:rPr>
  </w:style>
  <w:style w:type="paragraph" w:styleId="14">
    <w:name w:val="footer"/>
    <w:basedOn w:val="1"/>
    <w:link w:val="29"/>
    <w:autoRedefine/>
    <w:unhideWhenUsed/>
    <w:qFormat/>
    <w:uiPriority w:val="0"/>
    <w:pPr>
      <w:tabs>
        <w:tab w:val="center" w:pos="4153"/>
        <w:tab w:val="right" w:pos="8306"/>
      </w:tabs>
      <w:snapToGrid w:val="0"/>
      <w:jc w:val="left"/>
    </w:pPr>
    <w:rPr>
      <w:sz w:val="18"/>
      <w:szCs w:val="18"/>
    </w:rPr>
  </w:style>
  <w:style w:type="paragraph" w:styleId="15">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Subtitle"/>
    <w:basedOn w:val="1"/>
    <w:next w:val="1"/>
    <w:link w:val="36"/>
    <w:autoRedefine/>
    <w:qFormat/>
    <w:uiPriority w:val="0"/>
    <w:rPr>
      <w:sz w:val="28"/>
    </w:rPr>
  </w:style>
  <w:style w:type="paragraph" w:styleId="18">
    <w:name w:val="annotation subject"/>
    <w:basedOn w:val="7"/>
    <w:next w:val="7"/>
    <w:link w:val="49"/>
    <w:autoRedefine/>
    <w:semiHidden/>
    <w:unhideWhenUsed/>
    <w:qFormat/>
    <w:uiPriority w:val="99"/>
    <w:rPr>
      <w:b/>
      <w:bCs/>
    </w:rPr>
  </w:style>
  <w:style w:type="paragraph" w:styleId="19">
    <w:name w:val="Body Text First Indent"/>
    <w:basedOn w:val="8"/>
    <w:link w:val="37"/>
    <w:autoRedefine/>
    <w:qFormat/>
    <w:uiPriority w:val="0"/>
    <w:pPr>
      <w:spacing w:line="360" w:lineRule="auto"/>
      <w:ind w:firstLine="420"/>
    </w:pPr>
    <w:rPr>
      <w:rFonts w:ascii="宋体" w:hAnsi="宋体"/>
      <w:sz w:val="24"/>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annotation reference"/>
    <w:basedOn w:val="22"/>
    <w:autoRedefine/>
    <w:semiHidden/>
    <w:unhideWhenUsed/>
    <w:qFormat/>
    <w:uiPriority w:val="99"/>
    <w:rPr>
      <w:sz w:val="21"/>
      <w:szCs w:val="21"/>
    </w:rPr>
  </w:style>
  <w:style w:type="paragraph" w:customStyle="1" w:styleId="25">
    <w:name w:val="标题 5（有编号）（绿盟科技）"/>
    <w:basedOn w:val="26"/>
    <w:next w:val="27"/>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8">
    <w:name w:val="页眉 字符"/>
    <w:basedOn w:val="22"/>
    <w:link w:val="15"/>
    <w:autoRedefine/>
    <w:qFormat/>
    <w:uiPriority w:val="99"/>
    <w:rPr>
      <w:sz w:val="18"/>
      <w:szCs w:val="18"/>
    </w:rPr>
  </w:style>
  <w:style w:type="character" w:customStyle="1" w:styleId="29">
    <w:name w:val="页脚 字符"/>
    <w:basedOn w:val="22"/>
    <w:link w:val="14"/>
    <w:autoRedefine/>
    <w:qFormat/>
    <w:uiPriority w:val="99"/>
    <w:rPr>
      <w:sz w:val="18"/>
      <w:szCs w:val="18"/>
    </w:rPr>
  </w:style>
  <w:style w:type="character" w:customStyle="1" w:styleId="30">
    <w:name w:val="标题 1 字符"/>
    <w:basedOn w:val="22"/>
    <w:link w:val="2"/>
    <w:autoRedefine/>
    <w:qFormat/>
    <w:uiPriority w:val="99"/>
    <w:rPr>
      <w:b/>
      <w:bCs/>
      <w:kern w:val="44"/>
      <w:sz w:val="44"/>
      <w:szCs w:val="44"/>
    </w:rPr>
  </w:style>
  <w:style w:type="character" w:customStyle="1" w:styleId="31">
    <w:name w:val="标题 2 字符"/>
    <w:basedOn w:val="22"/>
    <w:link w:val="3"/>
    <w:autoRedefine/>
    <w:qFormat/>
    <w:uiPriority w:val="0"/>
    <w:rPr>
      <w:rFonts w:ascii="Arial" w:hAnsi="Arial" w:eastAsia="仿宋"/>
      <w:b/>
      <w:bCs/>
      <w:sz w:val="28"/>
      <w:szCs w:val="32"/>
    </w:rPr>
  </w:style>
  <w:style w:type="character" w:customStyle="1" w:styleId="32">
    <w:name w:val="标题 3 字符"/>
    <w:basedOn w:val="22"/>
    <w:link w:val="4"/>
    <w:autoRedefine/>
    <w:qFormat/>
    <w:uiPriority w:val="0"/>
    <w:rPr>
      <w:rFonts w:eastAsia="仿宋"/>
      <w:b/>
      <w:sz w:val="30"/>
    </w:rPr>
  </w:style>
  <w:style w:type="character" w:customStyle="1" w:styleId="33">
    <w:name w:val="正文文本 字符"/>
    <w:basedOn w:val="22"/>
    <w:link w:val="8"/>
    <w:autoRedefine/>
    <w:qFormat/>
    <w:uiPriority w:val="0"/>
  </w:style>
  <w:style w:type="character" w:customStyle="1" w:styleId="34">
    <w:name w:val="批注文字 字符"/>
    <w:basedOn w:val="22"/>
    <w:link w:val="7"/>
    <w:autoRedefine/>
    <w:qFormat/>
    <w:uiPriority w:val="0"/>
  </w:style>
  <w:style w:type="character" w:customStyle="1" w:styleId="35">
    <w:name w:val="正文文本缩进 2 字符"/>
    <w:basedOn w:val="22"/>
    <w:link w:val="12"/>
    <w:autoRedefine/>
    <w:qFormat/>
    <w:uiPriority w:val="0"/>
    <w:rPr>
      <w:sz w:val="32"/>
    </w:rPr>
  </w:style>
  <w:style w:type="character" w:customStyle="1" w:styleId="36">
    <w:name w:val="副标题 字符"/>
    <w:basedOn w:val="22"/>
    <w:link w:val="17"/>
    <w:autoRedefine/>
    <w:qFormat/>
    <w:uiPriority w:val="0"/>
    <w:rPr>
      <w:sz w:val="28"/>
    </w:rPr>
  </w:style>
  <w:style w:type="character" w:customStyle="1" w:styleId="37">
    <w:name w:val="正文首行缩进 字符"/>
    <w:basedOn w:val="33"/>
    <w:link w:val="19"/>
    <w:autoRedefine/>
    <w:qFormat/>
    <w:uiPriority w:val="0"/>
    <w:rPr>
      <w:rFonts w:ascii="宋体" w:hAnsi="宋体"/>
      <w:sz w:val="24"/>
    </w:rPr>
  </w:style>
  <w:style w:type="paragraph" w:customStyle="1" w:styleId="38">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3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autoRedefine/>
    <w:qFormat/>
    <w:uiPriority w:val="0"/>
    <w:pPr>
      <w:spacing w:line="400" w:lineRule="exact"/>
    </w:pPr>
    <w:rPr>
      <w:sz w:val="24"/>
      <w:szCs w:val="24"/>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列出段落1"/>
    <w:basedOn w:val="1"/>
    <w:autoRedefine/>
    <w:qFormat/>
    <w:uiPriority w:val="0"/>
    <w:pPr>
      <w:ind w:firstLine="420" w:firstLineChars="200"/>
    </w:pPr>
    <w:rPr>
      <w:szCs w:val="24"/>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customStyle="1" w:styleId="44">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5">
    <w:name w:val="font31"/>
    <w:autoRedefine/>
    <w:qFormat/>
    <w:uiPriority w:val="0"/>
    <w:rPr>
      <w:rFonts w:hint="eastAsia" w:ascii="宋体" w:hAnsi="宋体" w:eastAsia="宋体" w:cs="宋体"/>
      <w:b/>
      <w:color w:val="000000"/>
      <w:sz w:val="22"/>
      <w:szCs w:val="22"/>
      <w:u w:val="none"/>
    </w:rPr>
  </w:style>
  <w:style w:type="character" w:customStyle="1" w:styleId="46">
    <w:name w:val="font21"/>
    <w:autoRedefine/>
    <w:qFormat/>
    <w:uiPriority w:val="0"/>
    <w:rPr>
      <w:rFonts w:hint="eastAsia" w:ascii="宋体" w:hAnsi="宋体" w:eastAsia="宋体" w:cs="宋体"/>
      <w:color w:val="000000"/>
      <w:sz w:val="20"/>
      <w:szCs w:val="20"/>
      <w:u w:val="none"/>
    </w:rPr>
  </w:style>
  <w:style w:type="character" w:customStyle="1" w:styleId="47">
    <w:name w:val="font81"/>
    <w:basedOn w:val="22"/>
    <w:autoRedefine/>
    <w:qFormat/>
    <w:uiPriority w:val="0"/>
    <w:rPr>
      <w:rFonts w:hint="eastAsia" w:ascii="宋体" w:hAnsi="宋体" w:eastAsia="宋体" w:cs="宋体"/>
      <w:b/>
      <w:color w:val="000000"/>
      <w:sz w:val="22"/>
      <w:szCs w:val="22"/>
      <w:u w:val="none"/>
    </w:rPr>
  </w:style>
  <w:style w:type="character" w:customStyle="1" w:styleId="48">
    <w:name w:val="日期 字符"/>
    <w:basedOn w:val="22"/>
    <w:link w:val="11"/>
    <w:autoRedefine/>
    <w:semiHidden/>
    <w:qFormat/>
    <w:uiPriority w:val="99"/>
    <w:rPr>
      <w:kern w:val="2"/>
      <w:sz w:val="21"/>
      <w:szCs w:val="22"/>
    </w:rPr>
  </w:style>
  <w:style w:type="character" w:customStyle="1" w:styleId="49">
    <w:name w:val="批注主题 字符"/>
    <w:basedOn w:val="34"/>
    <w:link w:val="18"/>
    <w:autoRedefine/>
    <w:semiHidden/>
    <w:qFormat/>
    <w:uiPriority w:val="99"/>
    <w:rPr>
      <w:b/>
      <w:bCs/>
      <w:kern w:val="2"/>
      <w:sz w:val="21"/>
      <w:szCs w:val="22"/>
    </w:rPr>
  </w:style>
  <w:style w:type="paragraph" w:customStyle="1" w:styleId="50">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1">
    <w:name w:val="批注框文本 字符"/>
    <w:basedOn w:val="22"/>
    <w:link w:val="13"/>
    <w:autoRedefine/>
    <w:semiHidden/>
    <w:qFormat/>
    <w:uiPriority w:val="99"/>
    <w:rPr>
      <w:kern w:val="2"/>
      <w:sz w:val="18"/>
      <w:szCs w:val="18"/>
    </w:rPr>
  </w:style>
  <w:style w:type="character" w:customStyle="1" w:styleId="52">
    <w:name w:val="font11"/>
    <w:basedOn w:val="22"/>
    <w:autoRedefine/>
    <w:qFormat/>
    <w:uiPriority w:val="0"/>
    <w:rPr>
      <w:rFonts w:hint="eastAsia" w:ascii="宋体" w:hAnsi="宋体" w:eastAsia="宋体" w:cs="宋体"/>
      <w:color w:val="000000"/>
      <w:sz w:val="21"/>
      <w:szCs w:val="21"/>
      <w:u w:val="none"/>
    </w:rPr>
  </w:style>
  <w:style w:type="paragraph" w:styleId="53">
    <w:name w:val="No Spacing"/>
    <w:basedOn w:val="1"/>
    <w:next w:val="1"/>
    <w:autoRedefine/>
    <w:unhideWhenUsed/>
    <w:qFormat/>
    <w:uiPriority w:val="0"/>
    <w:rPr>
      <w:rFonts w:ascii="Calibri" w:hAnsi="Calibri"/>
    </w:rPr>
  </w:style>
  <w:style w:type="paragraph" w:customStyle="1" w:styleId="54">
    <w:name w:val="正文首行缩进两字符"/>
    <w:basedOn w:val="1"/>
    <w:autoRedefine/>
    <w:qFormat/>
    <w:uiPriority w:val="0"/>
    <w:pPr>
      <w:spacing w:line="360" w:lineRule="auto"/>
      <w:ind w:firstLine="200" w:firstLineChars="200"/>
    </w:pPr>
    <w:rPr>
      <w:rFonts w:ascii="Times New Roman"/>
    </w:rPr>
  </w:style>
  <w:style w:type="paragraph" w:styleId="55">
    <w:name w:val="List Paragraph"/>
    <w:basedOn w:val="1"/>
    <w:autoRedefine/>
    <w:unhideWhenUsed/>
    <w:qFormat/>
    <w:uiPriority w:val="99"/>
    <w:pPr>
      <w:ind w:firstLine="420" w:firstLineChars="200"/>
    </w:pPr>
  </w:style>
  <w:style w:type="paragraph" w:customStyle="1" w:styleId="56">
    <w:name w:val="正文2"/>
    <w:basedOn w:val="9"/>
    <w:autoRedefine/>
    <w:qFormat/>
    <w:uiPriority w:val="0"/>
    <w:pPr>
      <w:spacing w:line="480" w:lineRule="exact"/>
      <w:ind w:firstLine="480" w:firstLineChars="200"/>
    </w:pPr>
    <w:rPr>
      <w:rFonts w:hAnsi="宋体" w:eastAsia="宋体"/>
      <w:bCs/>
      <w:sz w:val="24"/>
      <w:lang w:val="zh-CN"/>
    </w:rPr>
  </w:style>
  <w:style w:type="paragraph" w:customStyle="1" w:styleId="57">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20734-D74D-4770-8363-A9F4CAECAD3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2660</Words>
  <Characters>15162</Characters>
  <Lines>126</Lines>
  <Paragraphs>35</Paragraphs>
  <TotalTime>143</TotalTime>
  <ScaleCrop>false</ScaleCrop>
  <LinksUpToDate>false</LinksUpToDate>
  <CharactersWithSpaces>17787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2024-03-13T00:58:00Z</cp:lastPrinted>
  <dcterms:modified xsi:type="dcterms:W3CDTF">2024-04-08T01:58:06Z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AE07B7CF213B42F7ADF7ACDBFE87C394_13</vt:lpwstr>
  </property>
</Properties>
</file>