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sz w:val="36"/>
          <w:szCs w:val="36"/>
          <w:u w:val="single"/>
        </w:rPr>
      </w:pPr>
    </w:p>
    <w:p>
      <w:pPr>
        <w:spacing w:line="640" w:lineRule="exact"/>
        <w:jc w:val="center"/>
        <w:rPr>
          <w:rFonts w:ascii="方正小标宋简体" w:hAnsi="微软雅黑" w:eastAsia="方正小标宋简体"/>
          <w:b/>
          <w:bCs/>
          <w:spacing w:val="20"/>
          <w:sz w:val="52"/>
          <w:szCs w:val="52"/>
        </w:rPr>
      </w:pPr>
      <w:r>
        <w:rPr>
          <w:rFonts w:hint="eastAsia" w:ascii="方正小标宋简体" w:hAnsi="微软雅黑" w:eastAsia="方正小标宋简体"/>
          <w:b/>
          <w:bCs/>
          <w:spacing w:val="20"/>
          <w:sz w:val="52"/>
          <w:szCs w:val="52"/>
        </w:rPr>
        <w:t>四川铁道职业学院采购项目</w:t>
      </w:r>
    </w:p>
    <w:p>
      <w:pPr>
        <w:spacing w:line="640" w:lineRule="exact"/>
        <w:ind w:firstLine="2240" w:firstLineChars="700"/>
        <w:rPr>
          <w:rFonts w:ascii="宋体" w:hAnsi="宋体" w:eastAsia="宋体"/>
          <w:sz w:val="32"/>
          <w:szCs w:val="32"/>
        </w:rPr>
      </w:pP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竞</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性</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比</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选</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文</w:t>
      </w:r>
    </w:p>
    <w:p>
      <w:pPr>
        <w:snapToGrid w:val="0"/>
        <w:spacing w:line="331" w:lineRule="auto"/>
        <w:jc w:val="center"/>
        <w:rPr>
          <w:rFonts w:ascii="方正小标宋简体" w:hAnsi="宋体" w:eastAsia="方正小标宋简体" w:cs="宋体"/>
          <w:b/>
          <w:kern w:val="0"/>
          <w:sz w:val="52"/>
          <w:szCs w:val="52"/>
        </w:rPr>
      </w:pPr>
      <w:r>
        <w:rPr>
          <w:rFonts w:hint="eastAsia" w:ascii="方正小标宋简体" w:hAnsi="宋体" w:eastAsia="方正小标宋简体" w:cs="宋体"/>
          <w:b/>
          <w:kern w:val="0"/>
          <w:sz w:val="52"/>
          <w:szCs w:val="52"/>
        </w:rPr>
        <w:t>件</w:t>
      </w:r>
    </w:p>
    <w:p>
      <w:pPr>
        <w:jc w:val="center"/>
        <w:rPr>
          <w:rFonts w:ascii="方正小标宋简体" w:hAnsi="微软雅黑" w:eastAsia="方正小标宋简体"/>
          <w:sz w:val="36"/>
          <w:szCs w:val="36"/>
        </w:rPr>
      </w:pPr>
    </w:p>
    <w:p>
      <w:pPr>
        <w:autoSpaceDE w:val="0"/>
        <w:autoSpaceDN w:val="0"/>
        <w:adjustRightInd w:val="0"/>
        <w:snapToGrid w:val="0"/>
        <w:spacing w:line="360" w:lineRule="auto"/>
        <w:jc w:val="center"/>
        <w:rPr>
          <w:rFonts w:ascii="宋体" w:hAnsi="宋体" w:eastAsia="宋体" w:cs="宋体"/>
          <w:sz w:val="30"/>
          <w:szCs w:val="30"/>
        </w:rPr>
      </w:pPr>
      <w:r>
        <w:rPr>
          <w:rFonts w:hint="eastAsia" w:ascii="宋体" w:hAnsi="宋体" w:eastAsia="宋体"/>
          <w:sz w:val="30"/>
          <w:szCs w:val="30"/>
        </w:rPr>
        <w:t>四川</w:t>
      </w:r>
      <w:r>
        <w:rPr>
          <w:rFonts w:hint="eastAsia" w:ascii="宋体" w:hAnsi="宋体" w:eastAsia="宋体"/>
          <w:b/>
          <w:sz w:val="32"/>
          <w:szCs w:val="32"/>
        </w:rPr>
        <w:t>·</w:t>
      </w:r>
      <w:r>
        <w:rPr>
          <w:rFonts w:hint="eastAsia" w:ascii="宋体" w:hAnsi="宋体" w:eastAsia="宋体"/>
          <w:sz w:val="30"/>
          <w:szCs w:val="30"/>
        </w:rPr>
        <w:t>成都</w:t>
      </w:r>
    </w:p>
    <w:p>
      <w:pPr>
        <w:snapToGrid w:val="0"/>
        <w:spacing w:line="360" w:lineRule="auto"/>
        <w:jc w:val="center"/>
        <w:rPr>
          <w:rFonts w:ascii="宋体" w:hAnsi="宋体" w:eastAsia="宋体" w:cs="宋体"/>
          <w:bCs/>
          <w:sz w:val="32"/>
          <w:szCs w:val="32"/>
          <w:lang w:val="zh-CN"/>
        </w:rPr>
      </w:pPr>
      <w:r>
        <w:rPr>
          <w:rFonts w:ascii="宋体" w:hAnsi="宋体" w:eastAsia="宋体" w:cs="Times New Roman"/>
          <w:bCs/>
          <w:sz w:val="32"/>
          <w:szCs w:val="32"/>
        </w:rPr>
        <w:t>202</w:t>
      </w:r>
      <w:r>
        <w:rPr>
          <w:rFonts w:hint="eastAsia" w:ascii="宋体" w:hAnsi="宋体" w:eastAsia="宋体" w:cs="Times New Roman"/>
          <w:bCs/>
          <w:sz w:val="32"/>
          <w:szCs w:val="32"/>
        </w:rPr>
        <w:t>4</w:t>
      </w:r>
      <w:r>
        <w:rPr>
          <w:rFonts w:hint="eastAsia" w:ascii="宋体" w:hAnsi="宋体" w:eastAsia="宋体" w:cs="宋体"/>
          <w:bCs/>
          <w:sz w:val="32"/>
          <w:szCs w:val="32"/>
          <w:lang w:val="zh-CN"/>
        </w:rPr>
        <w:t>年</w:t>
      </w:r>
      <w:r>
        <w:rPr>
          <w:rFonts w:hint="eastAsia" w:ascii="宋体" w:hAnsi="宋体" w:eastAsia="宋体" w:cs="宋体"/>
          <w:bCs/>
          <w:sz w:val="32"/>
          <w:szCs w:val="32"/>
        </w:rPr>
        <w:t>6</w:t>
      </w:r>
      <w:r>
        <w:rPr>
          <w:rFonts w:hint="eastAsia" w:ascii="宋体" w:hAnsi="宋体" w:eastAsia="宋体" w:cs="宋体"/>
          <w:bCs/>
          <w:sz w:val="32"/>
          <w:szCs w:val="32"/>
          <w:lang w:val="zh-CN"/>
        </w:rPr>
        <w:t>月</w:t>
      </w:r>
      <w:bookmarkStart w:id="0" w:name="_Hlt101233737"/>
      <w:bookmarkEnd w:id="0"/>
      <w:bookmarkStart w:id="1" w:name="_Hlt101843627"/>
      <w:bookmarkEnd w:id="1"/>
    </w:p>
    <w:p>
      <w:pPr>
        <w:pStyle w:val="30"/>
        <w:rPr>
          <w:lang w:val="zh-CN"/>
        </w:rPr>
      </w:pPr>
      <w:r>
        <w:rPr>
          <w:lang w:val="zh-CN"/>
        </w:rPr>
        <w:br w:type="page"/>
      </w:r>
    </w:p>
    <w:p>
      <w:pPr>
        <w:pStyle w:val="2"/>
        <w:spacing w:line="360" w:lineRule="auto"/>
        <w:jc w:val="center"/>
        <w:rPr>
          <w:rFonts w:ascii="宋体" w:hAnsi="宋体" w:eastAsia="宋体"/>
        </w:rPr>
      </w:pPr>
      <w:r>
        <w:rPr>
          <w:rFonts w:hint="eastAsia" w:ascii="宋体" w:hAnsi="宋体" w:eastAsia="宋体"/>
          <w:bCs w:val="0"/>
          <w:sz w:val="36"/>
        </w:rPr>
        <w:t>第一章 比选邀请</w:t>
      </w:r>
    </w:p>
    <w:p>
      <w:pPr>
        <w:spacing w:line="500" w:lineRule="exact"/>
        <w:ind w:firstLine="480"/>
        <w:rPr>
          <w:rFonts w:ascii="宋体" w:hAnsi="宋体" w:eastAsia="宋体" w:cs="Times New Roman"/>
          <w:b/>
          <w:bCs/>
          <w:sz w:val="24"/>
          <w:szCs w:val="24"/>
        </w:rPr>
      </w:pPr>
      <w:r>
        <w:rPr>
          <w:rFonts w:hint="eastAsia" w:ascii="宋体" w:hAnsi="宋体" w:eastAsia="宋体" w:cs="Times New Roman"/>
          <w:sz w:val="24"/>
          <w:szCs w:val="24"/>
        </w:rPr>
        <w:t>四川铁道职业学院拟对官网和数据中心三级等保测评服务项目进</w:t>
      </w:r>
      <w:r>
        <w:rPr>
          <w:rFonts w:ascii="宋体" w:hAnsi="宋体" w:eastAsia="宋体" w:cs="Times New Roman"/>
          <w:sz w:val="24"/>
          <w:szCs w:val="24"/>
        </w:rPr>
        <w:t>行公开采购。遵循公开、公平、公正的原则，欢迎符合条件的各潜在供应商积极参与该项目的采购工作。现就有关事项公告如下：</w:t>
      </w:r>
    </w:p>
    <w:p>
      <w:pPr>
        <w:numPr>
          <w:ilvl w:val="0"/>
          <w:numId w:val="2"/>
        </w:numPr>
        <w:spacing w:line="360" w:lineRule="auto"/>
        <w:ind w:firstLine="482" w:firstLineChars="200"/>
        <w:outlineLvl w:val="1"/>
        <w:rPr>
          <w:rFonts w:ascii="宋体" w:hAnsi="宋体" w:eastAsia="宋体" w:cs="Times New Roman"/>
          <w:sz w:val="24"/>
          <w:szCs w:val="24"/>
        </w:rPr>
      </w:pPr>
      <w:r>
        <w:rPr>
          <w:rFonts w:hint="eastAsia" w:ascii="宋体" w:hAnsi="宋体" w:eastAsia="宋体" w:cs="Times New Roman"/>
          <w:b/>
          <w:sz w:val="24"/>
          <w:szCs w:val="24"/>
        </w:rPr>
        <w:t>项目名称：</w:t>
      </w:r>
      <w:r>
        <w:rPr>
          <w:rFonts w:hint="eastAsia" w:ascii="宋体" w:hAnsi="宋体" w:eastAsia="宋体" w:cs="Times New Roman"/>
          <w:sz w:val="24"/>
          <w:szCs w:val="24"/>
        </w:rPr>
        <w:t>官网和数据中心三级等保测评服务</w:t>
      </w:r>
    </w:p>
    <w:p>
      <w:pPr>
        <w:spacing w:line="360" w:lineRule="auto"/>
        <w:ind w:firstLine="482" w:firstLineChars="200"/>
        <w:outlineLvl w:val="1"/>
        <w:rPr>
          <w:rFonts w:ascii="宋体" w:hAnsi="宋体" w:eastAsia="宋体" w:cs="Times New Roman"/>
          <w:sz w:val="24"/>
          <w:szCs w:val="24"/>
        </w:rPr>
      </w:pPr>
      <w:r>
        <w:rPr>
          <w:rFonts w:hint="eastAsia" w:ascii="宋体" w:hAnsi="宋体" w:eastAsia="宋体" w:cs="Times New Roman"/>
          <w:b/>
          <w:sz w:val="24"/>
          <w:szCs w:val="24"/>
        </w:rPr>
        <w:t>二、项目编号：</w:t>
      </w:r>
      <w:r>
        <w:rPr>
          <w:rFonts w:hint="eastAsia" w:ascii="宋体" w:hAnsi="宋体" w:eastAsia="宋体" w:cs="Times New Roman"/>
          <w:sz w:val="24"/>
          <w:szCs w:val="24"/>
        </w:rPr>
        <w:t>CTZY-CG-2024029</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三、项目简介</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本项目共计1个包，拟确定中选人1名。（具体比选详情见第四章）</w:t>
      </w:r>
    </w:p>
    <w:p>
      <w:pPr>
        <w:spacing w:line="360" w:lineRule="auto"/>
        <w:ind w:firstLine="482" w:firstLineChars="200"/>
        <w:outlineLvl w:val="1"/>
        <w:rPr>
          <w:rFonts w:ascii="宋体" w:hAnsi="宋体" w:eastAsia="宋体" w:cs="Times New Roman"/>
          <w:b/>
          <w:bCs/>
          <w:sz w:val="24"/>
          <w:szCs w:val="24"/>
        </w:rPr>
      </w:pPr>
      <w:r>
        <w:rPr>
          <w:rFonts w:hint="eastAsia" w:ascii="宋体" w:hAnsi="宋体" w:eastAsia="宋体" w:cs="Times New Roman"/>
          <w:b/>
          <w:bCs/>
          <w:sz w:val="24"/>
          <w:szCs w:val="24"/>
        </w:rPr>
        <w:t>四、供应商参加本次采购活动应具备下列条件：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（一）具有独立承担民事责任的能力；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（二）具有良好的商业信誉和健全的财务会计制度；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（三）具有履行合同所必需的设备和专业技术能力；</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（四）有依法缴纳税收和社会保障资金的良好记录；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（五）参加比选活动前三年内，在经营活动中没有重大违法记录；</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（六）法律、行政法规规定的其他条件。</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五</w:t>
      </w:r>
      <w:r>
        <w:rPr>
          <w:rFonts w:ascii="宋体" w:hAnsi="宋体" w:eastAsia="宋体" w:cs="Times New Roman"/>
          <w:b/>
          <w:sz w:val="24"/>
          <w:szCs w:val="24"/>
        </w:rPr>
        <w:t>、</w:t>
      </w:r>
      <w:r>
        <w:rPr>
          <w:rFonts w:hint="eastAsia" w:ascii="宋体" w:hAnsi="宋体" w:eastAsia="宋体" w:cs="Times New Roman"/>
          <w:b/>
          <w:sz w:val="24"/>
          <w:szCs w:val="24"/>
        </w:rPr>
        <w:t>比选</w:t>
      </w:r>
      <w:r>
        <w:rPr>
          <w:rFonts w:ascii="宋体" w:hAnsi="宋体" w:eastAsia="宋体" w:cs="Times New Roman"/>
          <w:b/>
          <w:sz w:val="24"/>
          <w:szCs w:val="24"/>
        </w:rPr>
        <w:t>公告</w:t>
      </w:r>
      <w:r>
        <w:rPr>
          <w:rFonts w:hint="eastAsia" w:ascii="宋体" w:hAnsi="宋体" w:eastAsia="宋体" w:cs="Times New Roman"/>
          <w:b/>
          <w:sz w:val="24"/>
          <w:szCs w:val="24"/>
        </w:rPr>
        <w:t>发布的媒体</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本次比选公告在四川铁道职业学院官网（https://www.scrc.org.cn/）发布。 </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六、禁止参加本次比选活动的供应商</w:t>
      </w:r>
    </w:p>
    <w:p>
      <w:pPr>
        <w:tabs>
          <w:tab w:val="left" w:pos="6255"/>
        </w:tabs>
        <w:spacing w:line="360" w:lineRule="auto"/>
        <w:ind w:firstLine="480" w:firstLineChars="200"/>
        <w:rPr>
          <w:rFonts w:ascii="宋体" w:hAnsi="宋体" w:eastAsia="宋体"/>
        </w:rPr>
      </w:pPr>
      <w:r>
        <w:rPr>
          <w:rFonts w:hint="eastAsia" w:ascii="宋体" w:hAnsi="宋体" w:eastAsia="宋体" w:cs="Times New Roman"/>
          <w:sz w:val="24"/>
          <w:szCs w:val="24"/>
        </w:rPr>
        <w:t>根据《关于在政府采购活动中查询及使用信用记录有关问题的通知》（财库〔2016〕125号）的要求，采购人或采购代理机构将通过“信用中国”网站（www.creditchina.gov.cn）、“中国政府采购网”网站（www.ccgp.gov.cn）等渠道查询供应商在提交首次响应文件截止之日前的信用记录并保存信用记录结果网页截图，拒绝列入失信被执行人名单、重大税收违法案件当事人名单、政府采购严重违法失信行为记录名单中的供应商报名参加本项目的比选活动（以联合体形式参加本项目采购活动，联合体成员存在不良信用记录的，视同联合体存在不良信用记录）。</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七</w:t>
      </w:r>
      <w:r>
        <w:rPr>
          <w:rFonts w:ascii="宋体" w:hAnsi="宋体" w:eastAsia="宋体" w:cs="Times New Roman"/>
          <w:b/>
          <w:sz w:val="24"/>
          <w:szCs w:val="24"/>
        </w:rPr>
        <w:t>、</w:t>
      </w:r>
      <w:r>
        <w:rPr>
          <w:rFonts w:hint="eastAsia" w:ascii="宋体" w:hAnsi="宋体" w:eastAsia="宋体" w:cs="Times New Roman"/>
          <w:b/>
          <w:sz w:val="24"/>
          <w:szCs w:val="24"/>
        </w:rPr>
        <w:t>提交比选申请文件截止时间（参加比选的时间）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2024</w:t>
      </w:r>
      <w:r>
        <w:rPr>
          <w:rFonts w:ascii="宋体" w:hAnsi="宋体" w:eastAsia="宋体" w:cs="Times New Roman"/>
          <w:sz w:val="24"/>
          <w:szCs w:val="24"/>
        </w:rPr>
        <w:t>年</w:t>
      </w:r>
      <w:r>
        <w:rPr>
          <w:rFonts w:hint="eastAsia" w:ascii="宋体" w:hAnsi="宋体" w:eastAsia="宋体" w:cs="Times New Roman"/>
          <w:sz w:val="24"/>
          <w:szCs w:val="24"/>
        </w:rPr>
        <w:t xml:space="preserve"> 6 </w:t>
      </w:r>
      <w:r>
        <w:rPr>
          <w:rFonts w:ascii="宋体" w:hAnsi="宋体" w:eastAsia="宋体" w:cs="Times New Roman"/>
          <w:sz w:val="24"/>
          <w:szCs w:val="24"/>
        </w:rPr>
        <w:t>月</w:t>
      </w:r>
      <w:r>
        <w:rPr>
          <w:rFonts w:hint="eastAsia" w:ascii="宋体" w:hAnsi="宋体" w:eastAsia="宋体" w:cs="Times New Roman"/>
          <w:sz w:val="24"/>
          <w:szCs w:val="24"/>
        </w:rPr>
        <w:t xml:space="preserve"> </w:t>
      </w:r>
      <w:r>
        <w:rPr>
          <w:rFonts w:hint="eastAsia" w:ascii="宋体" w:hAnsi="宋体" w:eastAsia="宋体" w:cs="Times New Roman"/>
          <w:sz w:val="24"/>
          <w:szCs w:val="24"/>
          <w:lang w:val="en-US" w:eastAsia="zh-CN"/>
        </w:rPr>
        <w:t>26</w:t>
      </w:r>
      <w:bookmarkStart w:id="51" w:name="_GoBack"/>
      <w:bookmarkEnd w:id="51"/>
      <w:r>
        <w:rPr>
          <w:rFonts w:hint="eastAsia" w:ascii="宋体" w:hAnsi="宋体" w:eastAsia="宋体" w:cs="Times New Roman"/>
          <w:sz w:val="24"/>
          <w:szCs w:val="24"/>
        </w:rPr>
        <w:t xml:space="preserve"> </w:t>
      </w:r>
      <w:r>
        <w:rPr>
          <w:rFonts w:ascii="宋体" w:hAnsi="宋体" w:eastAsia="宋体" w:cs="Times New Roman"/>
          <w:sz w:val="24"/>
          <w:szCs w:val="24"/>
        </w:rPr>
        <w:t>日时</w:t>
      </w:r>
      <w:r>
        <w:rPr>
          <w:rFonts w:hint="eastAsia" w:ascii="宋体" w:hAnsi="宋体" w:eastAsia="宋体" w:cs="Times New Roman"/>
          <w:sz w:val="24"/>
          <w:szCs w:val="24"/>
        </w:rPr>
        <w:t>10：00</w:t>
      </w:r>
      <w:r>
        <w:rPr>
          <w:rFonts w:ascii="宋体" w:hAnsi="宋体" w:eastAsia="宋体" w:cs="Times New Roman"/>
          <w:sz w:val="24"/>
          <w:szCs w:val="24"/>
        </w:rPr>
        <w:t>分</w:t>
      </w:r>
      <w:r>
        <w:rPr>
          <w:rFonts w:hint="eastAsia" w:ascii="宋体" w:hAnsi="宋体" w:eastAsia="宋体" w:cs="Times New Roman"/>
          <w:sz w:val="24"/>
          <w:szCs w:val="24"/>
        </w:rPr>
        <w:t>（</w:t>
      </w:r>
      <w:r>
        <w:rPr>
          <w:rFonts w:ascii="宋体" w:hAnsi="宋体" w:eastAsia="宋体" w:cs="Times New Roman"/>
          <w:sz w:val="24"/>
          <w:szCs w:val="24"/>
        </w:rPr>
        <w:t>北京时间</w:t>
      </w:r>
      <w:r>
        <w:rPr>
          <w:rFonts w:hint="eastAsia" w:ascii="宋体" w:hAnsi="宋体" w:eastAsia="宋体" w:cs="Times New Roman"/>
          <w:sz w:val="24"/>
          <w:szCs w:val="24"/>
        </w:rPr>
        <w:t>）</w:t>
      </w:r>
    </w:p>
    <w:p>
      <w:pPr>
        <w:pStyle w:val="9"/>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1.比选申请文件应在参加比选时间前送达比选地，未在参加比选前送到的文件将被拒收。</w:t>
      </w:r>
    </w:p>
    <w:p>
      <w:pPr>
        <w:pStyle w:val="9"/>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2.逾期送达或没有密封的比选申请文件恕不接收。</w:t>
      </w:r>
    </w:p>
    <w:p>
      <w:pPr>
        <w:pStyle w:val="18"/>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八、提交比选申请文件地点和比选地点</w:t>
      </w:r>
    </w:p>
    <w:p>
      <w:pPr>
        <w:pStyle w:val="9"/>
        <w:spacing w:after="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成都郫都区安德街道彭温路</w:t>
      </w:r>
      <w:r>
        <w:rPr>
          <w:rFonts w:ascii="宋体" w:hAnsi="宋体" w:eastAsia="宋体" w:cs="Times New Roman"/>
          <w:sz w:val="24"/>
          <w:szCs w:val="24"/>
        </w:rPr>
        <w:t>399号四川铁道职业学院基建后勤办公区</w:t>
      </w:r>
      <w:r>
        <w:rPr>
          <w:rFonts w:hint="eastAsia" w:ascii="宋体" w:hAnsi="宋体" w:eastAsia="宋体" w:cs="Times New Roman"/>
          <w:sz w:val="24"/>
          <w:szCs w:val="24"/>
        </w:rPr>
        <w:t>2</w:t>
      </w:r>
      <w:r>
        <w:rPr>
          <w:rFonts w:ascii="宋体" w:hAnsi="宋体" w:eastAsia="宋体" w:cs="Times New Roman"/>
          <w:sz w:val="24"/>
          <w:szCs w:val="24"/>
        </w:rPr>
        <w:t>1</w:t>
      </w:r>
      <w:r>
        <w:rPr>
          <w:rFonts w:hint="eastAsia" w:ascii="宋体" w:hAnsi="宋体" w:eastAsia="宋体" w:cs="Times New Roman"/>
          <w:sz w:val="24"/>
          <w:szCs w:val="24"/>
        </w:rPr>
        <w:t>3</w:t>
      </w:r>
      <w:r>
        <w:rPr>
          <w:rFonts w:ascii="宋体" w:hAnsi="宋体" w:eastAsia="宋体" w:cs="Times New Roman"/>
          <w:sz w:val="24"/>
          <w:szCs w:val="24"/>
        </w:rPr>
        <w:t>室</w:t>
      </w:r>
      <w:r>
        <w:rPr>
          <w:rFonts w:hint="eastAsia" w:ascii="宋体" w:hAnsi="宋体" w:eastAsia="宋体" w:cs="Times New Roman"/>
          <w:sz w:val="24"/>
          <w:szCs w:val="24"/>
        </w:rPr>
        <w:t>（评标室）</w:t>
      </w:r>
    </w:p>
    <w:p>
      <w:pPr>
        <w:spacing w:line="360" w:lineRule="auto"/>
        <w:ind w:firstLine="482" w:firstLineChars="200"/>
        <w:outlineLvl w:val="1"/>
        <w:rPr>
          <w:rFonts w:ascii="宋体" w:hAnsi="宋体" w:eastAsia="宋体" w:cs="Times New Roman"/>
          <w:b/>
          <w:sz w:val="24"/>
          <w:szCs w:val="24"/>
        </w:rPr>
      </w:pPr>
      <w:r>
        <w:rPr>
          <w:rFonts w:hint="eastAsia" w:ascii="宋体" w:hAnsi="宋体" w:eastAsia="宋体" w:cs="Times New Roman"/>
          <w:b/>
          <w:sz w:val="24"/>
          <w:szCs w:val="24"/>
        </w:rPr>
        <w:t>九</w:t>
      </w:r>
      <w:r>
        <w:rPr>
          <w:rFonts w:ascii="宋体" w:hAnsi="宋体" w:eastAsia="宋体" w:cs="Times New Roman"/>
          <w:b/>
          <w:sz w:val="24"/>
          <w:szCs w:val="24"/>
        </w:rPr>
        <w:t>、联系方式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 选 人：四川铁道职业学院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地 </w:t>
      </w:r>
      <w:r>
        <w:rPr>
          <w:rFonts w:ascii="宋体" w:hAnsi="宋体" w:eastAsia="宋体" w:cs="Times New Roman"/>
          <w:sz w:val="24"/>
          <w:szCs w:val="24"/>
        </w:rPr>
        <w:t xml:space="preserve">   </w:t>
      </w:r>
      <w:r>
        <w:rPr>
          <w:rFonts w:hint="eastAsia" w:ascii="宋体" w:hAnsi="宋体" w:eastAsia="宋体" w:cs="Times New Roman"/>
          <w:sz w:val="24"/>
          <w:szCs w:val="24"/>
        </w:rPr>
        <w:t>址：成都市郫都区安德街道彭温路399号</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 系 人：贺老师、张老师</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联系电话：028-68939875、68939922</w:t>
      </w:r>
    </w:p>
    <w:p>
      <w:pPr>
        <w:rPr>
          <w:rFonts w:ascii="宋体" w:hAnsi="宋体" w:eastAsia="宋体"/>
        </w:rPr>
      </w:pPr>
      <w:r>
        <w:rPr>
          <w:rFonts w:ascii="宋体" w:hAnsi="宋体" w:eastAsia="宋体"/>
        </w:rPr>
        <w:br w:type="page"/>
      </w:r>
    </w:p>
    <w:p>
      <w:pPr>
        <w:widowControl/>
        <w:spacing w:line="520" w:lineRule="exact"/>
        <w:jc w:val="center"/>
        <w:outlineLvl w:val="0"/>
        <w:rPr>
          <w:rFonts w:ascii="宋体" w:hAnsi="宋体" w:eastAsia="宋体" w:cs="仿宋"/>
          <w:b/>
          <w:sz w:val="36"/>
          <w:szCs w:val="32"/>
        </w:rPr>
      </w:pPr>
      <w:bookmarkStart w:id="2" w:name="_Toc23677"/>
      <w:bookmarkStart w:id="3" w:name="_Toc18147"/>
      <w:bookmarkStart w:id="4" w:name="_Toc4075"/>
      <w:r>
        <w:rPr>
          <w:rFonts w:hint="eastAsia" w:ascii="宋体" w:hAnsi="宋体" w:eastAsia="宋体" w:cs="仿宋"/>
          <w:b/>
          <w:sz w:val="36"/>
          <w:szCs w:val="32"/>
        </w:rPr>
        <w:t>第二章 比选须知</w:t>
      </w:r>
      <w:bookmarkEnd w:id="2"/>
      <w:bookmarkEnd w:id="3"/>
      <w:bookmarkEnd w:id="4"/>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一、申请人</w:t>
      </w:r>
      <w:r>
        <w:rPr>
          <w:rFonts w:ascii="宋体" w:hAnsi="宋体" w:eastAsia="宋体" w:cs="Times New Roman"/>
          <w:b/>
          <w:sz w:val="28"/>
          <w:szCs w:val="28"/>
        </w:rPr>
        <w:t>须知附表</w:t>
      </w:r>
    </w:p>
    <w:tbl>
      <w:tblPr>
        <w:tblStyle w:val="24"/>
        <w:tblW w:w="893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24"/>
        <w:gridCol w:w="2210"/>
        <w:gridCol w:w="619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524" w:type="dxa"/>
            <w:vAlign w:val="center"/>
          </w:tcPr>
          <w:p>
            <w:pPr>
              <w:spacing w:line="360" w:lineRule="auto"/>
              <w:jc w:val="center"/>
              <w:rPr>
                <w:rFonts w:ascii="宋体" w:hAnsi="宋体" w:eastAsia="宋体" w:cs="仿宋"/>
                <w:b/>
                <w:bCs/>
                <w:sz w:val="22"/>
              </w:rPr>
            </w:pPr>
            <w:r>
              <w:rPr>
                <w:rFonts w:hint="eastAsia" w:ascii="宋体" w:hAnsi="宋体" w:eastAsia="宋体" w:cs="仿宋"/>
                <w:b/>
                <w:bCs/>
                <w:sz w:val="22"/>
              </w:rPr>
              <w:t>序号</w:t>
            </w:r>
          </w:p>
        </w:tc>
        <w:tc>
          <w:tcPr>
            <w:tcW w:w="2210" w:type="dxa"/>
            <w:vAlign w:val="center"/>
          </w:tcPr>
          <w:p>
            <w:pPr>
              <w:spacing w:line="360" w:lineRule="auto"/>
              <w:jc w:val="center"/>
              <w:rPr>
                <w:rFonts w:ascii="宋体" w:hAnsi="宋体" w:eastAsia="宋体" w:cs="仿宋"/>
                <w:b/>
                <w:bCs/>
                <w:sz w:val="22"/>
              </w:rPr>
            </w:pPr>
            <w:r>
              <w:rPr>
                <w:rFonts w:hint="eastAsia" w:ascii="宋体" w:hAnsi="宋体" w:eastAsia="宋体" w:cs="仿宋"/>
                <w:b/>
                <w:bCs/>
                <w:sz w:val="22"/>
              </w:rPr>
              <w:t>应知事项</w:t>
            </w:r>
          </w:p>
        </w:tc>
        <w:tc>
          <w:tcPr>
            <w:tcW w:w="6197" w:type="dxa"/>
            <w:vAlign w:val="center"/>
          </w:tcPr>
          <w:p>
            <w:pPr>
              <w:spacing w:line="360" w:lineRule="auto"/>
              <w:jc w:val="center"/>
              <w:rPr>
                <w:rFonts w:ascii="宋体" w:hAnsi="宋体" w:eastAsia="宋体" w:cs="仿宋"/>
                <w:b/>
                <w:bCs/>
                <w:sz w:val="22"/>
              </w:rPr>
            </w:pPr>
            <w:r>
              <w:rPr>
                <w:rFonts w:hint="eastAsia" w:ascii="宋体" w:hAnsi="宋体" w:eastAsia="宋体" w:cs="仿宋"/>
                <w:b/>
                <w:bCs/>
                <w:sz w:val="22"/>
              </w:rPr>
              <w:t>说明和要求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restart"/>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rPr>
            </w:pPr>
            <w:r>
              <w:rPr>
                <w:rFonts w:hint="eastAsia" w:ascii="宋体" w:hAnsi="宋体" w:eastAsia="宋体" w:cs="Times New Roman"/>
                <w:kern w:val="0"/>
                <w:sz w:val="22"/>
              </w:rPr>
              <w:t>比选预算</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4"/>
              <w:spacing w:line="360" w:lineRule="exact"/>
              <w:ind w:left="210" w:leftChars="100"/>
              <w:jc w:val="both"/>
              <w:rPr>
                <w:lang w:val="zh-CN"/>
              </w:rPr>
            </w:pPr>
            <w:r>
              <w:rPr>
                <w:rFonts w:hint="eastAsia"/>
                <w:lang w:val="zh-CN"/>
              </w:rPr>
              <w:t>人民币</w:t>
            </w:r>
            <w:r>
              <w:rPr>
                <w:rFonts w:hint="eastAsia"/>
              </w:rPr>
              <w:t>16</w:t>
            </w:r>
            <w:r>
              <w:rPr>
                <w:rFonts w:hint="eastAsia"/>
                <w:lang w:val="zh-CN"/>
              </w:rPr>
              <w:t>万元</w:t>
            </w:r>
          </w:p>
          <w:p>
            <w:pPr>
              <w:pStyle w:val="44"/>
              <w:spacing w:line="360" w:lineRule="exact"/>
              <w:ind w:left="210" w:leftChars="100"/>
              <w:jc w:val="both"/>
              <w:rPr>
                <w:rFonts w:cstheme="minorBidi"/>
                <w:bCs/>
                <w:kern w:val="2"/>
                <w:sz w:val="21"/>
                <w:szCs w:val="21"/>
                <w:lang w:val="zh-CN"/>
              </w:rPr>
            </w:pPr>
            <w:r>
              <w:rPr>
                <w:rFonts w:hint="eastAsia"/>
                <w:lang w:val="zh-CN"/>
              </w:rPr>
              <w:t>超过比选预算的报价，其比选申请文件作无效处理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Merge w:val="continue"/>
            <w:vAlign w:val="center"/>
          </w:tcPr>
          <w:p>
            <w:pPr>
              <w:pStyle w:val="43"/>
              <w:tabs>
                <w:tab w:val="left" w:pos="22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kern w:val="0"/>
                <w:sz w:val="22"/>
                <w:lang w:val="zh-CN"/>
              </w:rPr>
            </w:pPr>
            <w:r>
              <w:rPr>
                <w:rFonts w:hint="eastAsia" w:ascii="宋体" w:hAnsi="宋体" w:eastAsia="宋体" w:cs="Times New Roman"/>
                <w:kern w:val="0"/>
                <w:sz w:val="22"/>
                <w:lang w:val="zh-CN"/>
              </w:rPr>
              <w:t>最高限价</w:t>
            </w:r>
          </w:p>
          <w:p>
            <w:pPr>
              <w:spacing w:line="360" w:lineRule="exact"/>
              <w:jc w:val="center"/>
              <w:rPr>
                <w:rFonts w:ascii="宋体" w:hAnsi="宋体" w:eastAsia="宋体" w:cs="Times New Roman"/>
                <w:kern w:val="0"/>
                <w:sz w:val="22"/>
                <w:lang w:val="zh-CN"/>
              </w:rPr>
            </w:pPr>
            <w:r>
              <w:rPr>
                <w:rFonts w:hint="eastAsia" w:ascii="宋体" w:hAnsi="宋体" w:eastAsia="宋体" w:cs="Times New Roman"/>
                <w:b/>
                <w:bCs/>
                <w:kern w:val="0"/>
                <w:sz w:val="22"/>
                <w:lang w:val="zh-CN"/>
              </w:rPr>
              <w:t>（实质性要求）</w:t>
            </w:r>
          </w:p>
        </w:tc>
        <w:tc>
          <w:tcPr>
            <w:tcW w:w="6197" w:type="dxa"/>
            <w:vAlign w:val="center"/>
          </w:tcPr>
          <w:p>
            <w:pPr>
              <w:pStyle w:val="44"/>
              <w:spacing w:line="360" w:lineRule="exact"/>
              <w:ind w:left="210" w:leftChars="100"/>
              <w:jc w:val="both"/>
            </w:pPr>
            <w:r>
              <w:rPr>
                <w:rFonts w:hint="eastAsia"/>
                <w:lang w:val="zh-CN"/>
              </w:rPr>
              <w:t>人民币</w:t>
            </w:r>
            <w:r>
              <w:rPr>
                <w:rFonts w:hint="eastAsia"/>
              </w:rPr>
              <w:t>16</w:t>
            </w:r>
            <w:r>
              <w:rPr>
                <w:rFonts w:hint="eastAsia"/>
                <w:lang w:val="zh-CN"/>
              </w:rPr>
              <w:t>万元</w:t>
            </w:r>
          </w:p>
          <w:p>
            <w:pPr>
              <w:pStyle w:val="44"/>
              <w:spacing w:line="360" w:lineRule="exact"/>
              <w:ind w:left="210" w:leftChars="100"/>
              <w:jc w:val="both"/>
              <w:rPr>
                <w:rFonts w:cs="Times New Roman"/>
                <w:kern w:val="2"/>
                <w:lang w:val="zh-CN"/>
              </w:rPr>
            </w:pPr>
            <w:r>
              <w:rPr>
                <w:rFonts w:hint="eastAsia"/>
                <w:lang w:val="zh-CN"/>
              </w:rPr>
              <w:t>超过最高限价的报价，其比选申请文件作无效处理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cs="Times New Roman"/>
                <w:sz w:val="22"/>
                <w:szCs w:val="22"/>
                <w:lang w:val="zh-CN"/>
              </w:rPr>
              <w:t>不正当竞争预防措施</w:t>
            </w:r>
          </w:p>
          <w:p>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比选评审委员会认为申请人的报价明显低于其他通过符合性</w:t>
            </w:r>
            <w:r>
              <w:rPr>
                <w:rFonts w:hint="eastAsia" w:cs="Times New Roman"/>
                <w:kern w:val="2"/>
              </w:rPr>
              <w:t>审</w:t>
            </w:r>
            <w:r>
              <w:rPr>
                <w:rFonts w:hint="eastAsia" w:cs="Times New Roman"/>
                <w:kern w:val="2"/>
                <w:lang w:val="zh-CN"/>
              </w:rPr>
              <w:t>查申请人的报价，有可能影响产品质量或者不能诚信履约的，应当要求其在比选现场合理的时间内提供书面说明，并提交相关证明材料；申请人不能证明其报价合理性的，比选评审委员会应当将其作为无效处理。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rPr>
            </w:pPr>
            <w:r>
              <w:rPr>
                <w:rFonts w:hint="eastAsia" w:cs="Times New Roman"/>
                <w:sz w:val="22"/>
                <w:szCs w:val="22"/>
              </w:rPr>
              <w:t>信用记录查询</w:t>
            </w:r>
          </w:p>
          <w:p>
            <w:pPr>
              <w:pStyle w:val="44"/>
              <w:spacing w:line="360" w:lineRule="exact"/>
              <w:jc w:val="center"/>
              <w:rPr>
                <w:rFonts w:cs="Times New Roman"/>
                <w:b/>
                <w:bCs/>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（1）比选人通过</w:t>
            </w:r>
          </w:p>
          <w:p>
            <w:pPr>
              <w:pStyle w:val="44"/>
              <w:spacing w:line="360" w:lineRule="exact"/>
              <w:ind w:left="210" w:leftChars="100"/>
              <w:jc w:val="both"/>
              <w:rPr>
                <w:rFonts w:cs="Times New Roman"/>
                <w:kern w:val="2"/>
                <w:lang w:val="zh-CN"/>
              </w:rPr>
            </w:pPr>
            <w:r>
              <w:rPr>
                <w:rFonts w:hint="eastAsia" w:cs="Times New Roman"/>
                <w:kern w:val="2"/>
                <w:lang w:val="zh-CN"/>
              </w:rPr>
              <w:t>信用中国（</w:t>
            </w:r>
            <w:r>
              <w:fldChar w:fldCharType="begin"/>
            </w:r>
            <w:r>
              <w:instrText xml:space="preserve"> HYPERLINK "http://www.creditchina.gov.cn）、中国政府采购网（www.ccgp.gov.cn）" </w:instrText>
            </w:r>
            <w:r>
              <w:fldChar w:fldCharType="separate"/>
            </w:r>
            <w:r>
              <w:rPr>
                <w:rFonts w:hint="eastAsia" w:cs="Times New Roman"/>
                <w:kern w:val="2"/>
                <w:lang w:val="zh-CN"/>
              </w:rPr>
              <w:t>www.creditchina.gov.cn）和中国政府采购网（www.ccgp.gov.cn）</w:t>
            </w:r>
            <w:r>
              <w:rPr>
                <w:rFonts w:hint="eastAsia" w:cs="Times New Roman"/>
                <w:kern w:val="2"/>
                <w:lang w:val="zh-CN"/>
              </w:rPr>
              <w:fldChar w:fldCharType="end"/>
            </w:r>
            <w:r>
              <w:rPr>
                <w:rFonts w:hint="eastAsia" w:cs="Times New Roman"/>
                <w:kern w:val="2"/>
                <w:lang w:val="zh-CN"/>
              </w:rPr>
              <w:t>进行信用记录查询；</w:t>
            </w:r>
          </w:p>
          <w:p>
            <w:pPr>
              <w:pStyle w:val="44"/>
              <w:spacing w:line="360" w:lineRule="exact"/>
              <w:ind w:left="210" w:leftChars="100"/>
              <w:jc w:val="both"/>
              <w:rPr>
                <w:rFonts w:cs="Times New Roman"/>
                <w:kern w:val="2"/>
                <w:lang w:val="zh-CN"/>
              </w:rPr>
            </w:pPr>
            <w:r>
              <w:rPr>
                <w:rFonts w:hint="eastAsia" w:cs="Times New Roman"/>
                <w:kern w:val="2"/>
                <w:lang w:val="zh-CN"/>
              </w:rPr>
              <w:t>（2）查询时间：本项目资格审查时；</w:t>
            </w:r>
          </w:p>
          <w:p>
            <w:pPr>
              <w:pStyle w:val="44"/>
              <w:spacing w:line="360" w:lineRule="exact"/>
              <w:ind w:left="210" w:leftChars="100"/>
              <w:jc w:val="both"/>
              <w:rPr>
                <w:rFonts w:cs="Times New Roman"/>
                <w:kern w:val="2"/>
                <w:lang w:val="zh-CN"/>
              </w:rPr>
            </w:pPr>
            <w:r>
              <w:rPr>
                <w:rFonts w:hint="eastAsia" w:cs="Times New Roman"/>
                <w:kern w:val="2"/>
                <w:lang w:val="zh-CN"/>
              </w:rPr>
              <w:t>（3）查询记录和证据留存的具体方式：与比选文件一并保存；</w:t>
            </w:r>
          </w:p>
          <w:p>
            <w:pPr>
              <w:pStyle w:val="44"/>
              <w:spacing w:line="360" w:lineRule="exact"/>
              <w:ind w:left="210" w:leftChars="100"/>
              <w:jc w:val="both"/>
              <w:rPr>
                <w:rFonts w:cs="Times New Roman"/>
                <w:kern w:val="2"/>
                <w:lang w:val="zh-CN"/>
              </w:rPr>
            </w:pPr>
            <w:r>
              <w:rPr>
                <w:rFonts w:hint="eastAsia" w:cs="Times New Roman"/>
                <w:kern w:val="2"/>
                <w:lang w:val="zh-CN"/>
              </w:rPr>
              <w:t>（4）使用规则：对列入失信被执行人、重大税收违法案件当事人名单、政府采购严重违法失信行为记录名单的供应商，拒绝其参与政府采购活动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比选申请文件</w:t>
            </w:r>
            <w:r>
              <w:rPr>
                <w:rFonts w:cs="Times New Roman"/>
                <w:sz w:val="22"/>
                <w:szCs w:val="22"/>
                <w:lang w:val="zh-CN"/>
              </w:rPr>
              <w:t>有效期</w:t>
            </w:r>
          </w:p>
          <w:p>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提交比选申请文件截止之日起90日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合同分包</w:t>
            </w:r>
          </w:p>
          <w:p>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联合体</w:t>
            </w:r>
          </w:p>
          <w:p>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不接受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比选方法</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综合评分法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比选申请文件的份数</w:t>
            </w:r>
          </w:p>
          <w:p>
            <w:pPr>
              <w:pStyle w:val="44"/>
              <w:spacing w:line="360" w:lineRule="exact"/>
              <w:jc w:val="center"/>
              <w:rPr>
                <w:rFonts w:cs="Times New Roman"/>
                <w:sz w:val="22"/>
                <w:szCs w:val="22"/>
                <w:lang w:val="zh-CN"/>
              </w:rPr>
            </w:pPr>
            <w:r>
              <w:rPr>
                <w:rFonts w:hint="eastAsia" w:cs="Times New Roman"/>
                <w:b/>
                <w:bCs/>
                <w:sz w:val="22"/>
                <w:szCs w:val="22"/>
                <w:lang w:val="zh-CN"/>
              </w:rPr>
              <w:t>（实质性要求）</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“比选申请文件”正本1份。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现场踏勘和答疑</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不举行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pStyle w:val="44"/>
              <w:spacing w:line="360" w:lineRule="exact"/>
              <w:jc w:val="center"/>
              <w:rPr>
                <w:rFonts w:cs="Times New Roman"/>
                <w:sz w:val="22"/>
                <w:szCs w:val="22"/>
                <w:lang w:val="zh-CN"/>
              </w:rPr>
            </w:pPr>
            <w:r>
              <w:rPr>
                <w:rFonts w:hint="eastAsia" w:cs="Times New Roman"/>
                <w:sz w:val="22"/>
                <w:szCs w:val="22"/>
                <w:lang w:val="zh-CN"/>
              </w:rPr>
              <w:t>比选文件咨询</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电话：028-68939875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ind w:left="105" w:leftChars="50" w:right="105" w:rightChars="50"/>
              <w:jc w:val="center"/>
              <w:rPr>
                <w:rFonts w:ascii="宋体" w:hAnsi="宋体" w:eastAsia="宋体" w:cs="Times New Roman"/>
                <w:kern w:val="0"/>
                <w:sz w:val="22"/>
                <w:lang w:val="zh-CN"/>
              </w:rPr>
            </w:pPr>
            <w:r>
              <w:rPr>
                <w:rFonts w:hint="eastAsia" w:ascii="宋体" w:hAnsi="宋体" w:eastAsia="宋体" w:cs="Times New Roman"/>
                <w:kern w:val="0"/>
                <w:sz w:val="22"/>
              </w:rPr>
              <w:t>比选结果</w:t>
            </w:r>
            <w:r>
              <w:rPr>
                <w:rFonts w:hint="eastAsia" w:ascii="宋体" w:hAnsi="宋体" w:eastAsia="宋体" w:cs="Times New Roman"/>
                <w:kern w:val="0"/>
                <w:sz w:val="22"/>
                <w:lang w:val="zh-CN"/>
              </w:rPr>
              <w:t>公告</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比选结果将在“四川铁道职业学院官网”公告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524" w:type="dxa"/>
            <w:vAlign w:val="center"/>
          </w:tcPr>
          <w:p>
            <w:pPr>
              <w:pStyle w:val="43"/>
              <w:numPr>
                <w:ilvl w:val="0"/>
                <w:numId w:val="3"/>
              </w:numPr>
              <w:tabs>
                <w:tab w:val="left" w:pos="220"/>
                <w:tab w:val="clear" w:pos="0"/>
              </w:tabs>
              <w:adjustRightInd w:val="0"/>
              <w:snapToGrid w:val="0"/>
              <w:jc w:val="both"/>
              <w:rPr>
                <w:rFonts w:cs="仿宋"/>
                <w:szCs w:val="21"/>
              </w:rPr>
            </w:pPr>
          </w:p>
        </w:tc>
        <w:tc>
          <w:tcPr>
            <w:tcW w:w="2210" w:type="dxa"/>
            <w:vAlign w:val="center"/>
          </w:tcPr>
          <w:p>
            <w:pPr>
              <w:spacing w:line="360" w:lineRule="exact"/>
              <w:jc w:val="center"/>
              <w:rPr>
                <w:rFonts w:ascii="宋体" w:hAnsi="宋体" w:eastAsia="宋体" w:cs="Times New Roman"/>
                <w:b/>
                <w:bCs/>
                <w:kern w:val="0"/>
                <w:sz w:val="22"/>
                <w:lang w:val="zh-CN"/>
              </w:rPr>
            </w:pPr>
            <w:r>
              <w:rPr>
                <w:rFonts w:hint="eastAsia" w:ascii="宋体" w:hAnsi="宋体" w:eastAsia="宋体" w:cs="Times New Roman"/>
                <w:kern w:val="0"/>
                <w:sz w:val="22"/>
                <w:lang w:val="zh-CN"/>
              </w:rPr>
              <w:t>说明</w:t>
            </w:r>
          </w:p>
        </w:tc>
        <w:tc>
          <w:tcPr>
            <w:tcW w:w="6197" w:type="dxa"/>
            <w:vAlign w:val="center"/>
          </w:tcPr>
          <w:p>
            <w:pPr>
              <w:pStyle w:val="44"/>
              <w:spacing w:line="360" w:lineRule="exact"/>
              <w:ind w:left="210" w:leftChars="100"/>
              <w:jc w:val="both"/>
              <w:rPr>
                <w:rFonts w:cs="Times New Roman"/>
                <w:kern w:val="2"/>
                <w:lang w:val="zh-CN"/>
              </w:rPr>
            </w:pPr>
            <w:r>
              <w:rPr>
                <w:rFonts w:hint="eastAsia" w:cs="Times New Roman"/>
                <w:kern w:val="2"/>
                <w:lang w:val="zh-CN"/>
              </w:rPr>
              <w:t>本比选为非政府比选项目，比选文件中所有涉及政府采购相关内容均为参照执行；比选人不对结果作任何解释；最终解释权归比选人所有</w:t>
            </w:r>
          </w:p>
        </w:tc>
      </w:tr>
    </w:tbl>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二、总则</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（一）适用范围</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本比选文件仅适用于本次公开比选所叙述的货物和服务项目采购。</w:t>
      </w:r>
    </w:p>
    <w:p>
      <w:pPr>
        <w:spacing w:line="360" w:lineRule="auto"/>
        <w:ind w:firstLine="482" w:firstLineChars="200"/>
        <w:outlineLvl w:val="2"/>
        <w:rPr>
          <w:rFonts w:ascii="宋体" w:hAnsi="宋体" w:eastAsia="宋体" w:cs="Times New Roman"/>
          <w:b/>
          <w:sz w:val="24"/>
          <w:szCs w:val="24"/>
        </w:rPr>
      </w:pPr>
      <w:bookmarkStart w:id="5" w:name="_Toc217446035"/>
      <w:r>
        <w:rPr>
          <w:rFonts w:hint="eastAsia" w:ascii="宋体" w:hAnsi="宋体" w:eastAsia="宋体" w:cs="Times New Roman"/>
          <w:b/>
          <w:sz w:val="24"/>
          <w:szCs w:val="24"/>
        </w:rPr>
        <w:t>（二）</w:t>
      </w:r>
      <w:bookmarkEnd w:id="5"/>
      <w:r>
        <w:rPr>
          <w:rFonts w:hint="eastAsia" w:ascii="宋体" w:hAnsi="宋体" w:eastAsia="宋体" w:cs="Times New Roman"/>
          <w:b/>
          <w:sz w:val="24"/>
          <w:szCs w:val="24"/>
        </w:rPr>
        <w:t>比选主体</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1.“比选人”系指四川铁道职业学院。</w:t>
      </w:r>
    </w:p>
    <w:p>
      <w:pPr>
        <w:spacing w:line="360" w:lineRule="auto"/>
        <w:ind w:firstLine="480" w:firstLineChars="200"/>
        <w:rPr>
          <w:rFonts w:ascii="宋体" w:hAnsi="宋体" w:eastAsia="宋体" w:cs="Times New Roman"/>
          <w:bCs/>
          <w:sz w:val="24"/>
          <w:szCs w:val="24"/>
        </w:rPr>
      </w:pPr>
      <w:r>
        <w:rPr>
          <w:rFonts w:hint="eastAsia" w:ascii="宋体" w:hAnsi="宋体" w:eastAsia="宋体" w:cs="Times New Roman"/>
          <w:bCs/>
          <w:sz w:val="24"/>
          <w:szCs w:val="24"/>
        </w:rPr>
        <w:t>2.“申请人”系指拟参加比选和向比选人提供货物及相应服务的比选申请人。</w:t>
      </w:r>
    </w:p>
    <w:p>
      <w:pPr>
        <w:spacing w:line="360" w:lineRule="auto"/>
        <w:ind w:firstLine="482" w:firstLineChars="200"/>
        <w:outlineLvl w:val="2"/>
        <w:rPr>
          <w:rFonts w:ascii="宋体" w:hAnsi="宋体" w:eastAsia="宋体"/>
        </w:rPr>
      </w:pPr>
      <w:r>
        <w:rPr>
          <w:rFonts w:ascii="宋体" w:hAnsi="宋体" w:eastAsia="宋体" w:cs="Times New Roman"/>
          <w:b/>
          <w:sz w:val="24"/>
          <w:szCs w:val="24"/>
        </w:rPr>
        <w:t>（</w:t>
      </w:r>
      <w:r>
        <w:rPr>
          <w:rFonts w:hint="eastAsia" w:ascii="宋体" w:hAnsi="宋体" w:eastAsia="宋体" w:cs="Times New Roman"/>
          <w:b/>
          <w:sz w:val="24"/>
          <w:szCs w:val="24"/>
        </w:rPr>
        <w:t>三</w:t>
      </w:r>
      <w:r>
        <w:rPr>
          <w:rFonts w:ascii="宋体" w:hAnsi="宋体" w:eastAsia="宋体" w:cs="Times New Roman"/>
          <w:b/>
          <w:sz w:val="24"/>
          <w:szCs w:val="24"/>
        </w:rPr>
        <w:t>）</w:t>
      </w:r>
      <w:r>
        <w:rPr>
          <w:rFonts w:hint="eastAsia" w:ascii="宋体" w:hAnsi="宋体" w:eastAsia="宋体" w:cs="Times New Roman"/>
          <w:b/>
          <w:sz w:val="24"/>
          <w:szCs w:val="24"/>
        </w:rPr>
        <w:t>有关定义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1.比选文件所称的“以上”“以下”“以内”“届满”，包括本数；所称的“不满”“超过”“以外”，不包括本数。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2.比选文件要求申请人提供原件资料的，文件均以“原件”字样作以标注；未作“原件”标注的，提供的资料可使用原件的复印件或影印件。</w:t>
      </w:r>
    </w:p>
    <w:p>
      <w:pPr>
        <w:spacing w:line="360" w:lineRule="auto"/>
        <w:ind w:firstLine="480" w:firstLineChars="200"/>
        <w:rPr>
          <w:rFonts w:ascii="宋体" w:hAnsi="宋体" w:eastAsia="宋体" w:cs="Times New Roman"/>
          <w:sz w:val="24"/>
        </w:rPr>
      </w:pPr>
      <w:r>
        <w:rPr>
          <w:rFonts w:hint="eastAsia" w:ascii="宋体" w:hAnsi="宋体" w:eastAsia="宋体" w:cs="Times New Roman"/>
          <w:sz w:val="24"/>
          <w:szCs w:val="24"/>
        </w:rPr>
        <w:t>3.本比选文件规定的期间按照年、月、日计算期间的，开始的当日不计入，自下一日开始计算。期间的最后一日是法定休假日的，以法定休假日结束的次日为期间的最后一日。按照年、月计算期间的，到期月的对应日为期间的最后一日；没有对应日的，月末日为期间的最后一日。</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四</w:t>
      </w:r>
      <w:r>
        <w:rPr>
          <w:rFonts w:ascii="宋体" w:hAnsi="宋体" w:eastAsia="宋体" w:cs="Times New Roman"/>
          <w:b/>
          <w:sz w:val="24"/>
          <w:szCs w:val="24"/>
        </w:rPr>
        <w:t>）合格的</w:t>
      </w:r>
      <w:r>
        <w:rPr>
          <w:rFonts w:hint="eastAsia" w:ascii="宋体" w:hAnsi="宋体" w:eastAsia="宋体" w:cs="Times New Roman"/>
          <w:b/>
          <w:sz w:val="24"/>
          <w:szCs w:val="24"/>
        </w:rPr>
        <w:t>申请人（实质性要求）</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1.具备“比选邀请”基本条件；</w:t>
      </w:r>
    </w:p>
    <w:p>
      <w:pPr>
        <w:tabs>
          <w:tab w:val="left" w:pos="7665"/>
        </w:tabs>
        <w:spacing w:line="520" w:lineRule="exact"/>
        <w:ind w:firstLine="480" w:firstLineChars="200"/>
        <w:rPr>
          <w:rFonts w:ascii="宋体" w:hAnsi="宋体" w:eastAsia="宋体" w:cs="Times New Roman"/>
          <w:sz w:val="24"/>
        </w:rPr>
      </w:pPr>
      <w:r>
        <w:rPr>
          <w:rFonts w:hint="eastAsia" w:ascii="宋体" w:hAnsi="宋体" w:eastAsia="宋体" w:cs="Times New Roman"/>
          <w:sz w:val="24"/>
        </w:rPr>
        <w:t>2.遵守国家有关的法律、法规和条例；</w:t>
      </w:r>
    </w:p>
    <w:p>
      <w:pPr>
        <w:tabs>
          <w:tab w:val="left" w:pos="7665"/>
        </w:tabs>
        <w:spacing w:line="520" w:lineRule="exact"/>
        <w:ind w:firstLine="480" w:firstLineChars="200"/>
        <w:rPr>
          <w:rFonts w:ascii="宋体" w:hAnsi="宋体" w:eastAsia="宋体"/>
          <w:sz w:val="24"/>
        </w:rPr>
      </w:pPr>
      <w:r>
        <w:rPr>
          <w:rFonts w:hint="eastAsia" w:ascii="宋体" w:hAnsi="宋体" w:eastAsia="宋体" w:cs="Times New Roman"/>
          <w:sz w:val="24"/>
        </w:rPr>
        <w:t>3.比选文件和法律、行政法规规定的其他条件。</w:t>
      </w:r>
    </w:p>
    <w:p>
      <w:pPr>
        <w:spacing w:line="360" w:lineRule="auto"/>
        <w:ind w:firstLine="482" w:firstLineChars="200"/>
        <w:outlineLvl w:val="2"/>
        <w:rPr>
          <w:rFonts w:ascii="宋体" w:hAnsi="宋体" w:eastAsia="宋体" w:cs="Times New Roman"/>
          <w:b/>
          <w:sz w:val="24"/>
          <w:szCs w:val="24"/>
        </w:rPr>
      </w:pPr>
      <w:r>
        <w:rPr>
          <w:rFonts w:ascii="宋体" w:hAnsi="宋体" w:eastAsia="宋体" w:cs="Times New Roman"/>
          <w:b/>
          <w:sz w:val="24"/>
          <w:szCs w:val="24"/>
        </w:rPr>
        <w:t>（</w:t>
      </w:r>
      <w:r>
        <w:rPr>
          <w:rFonts w:hint="eastAsia" w:ascii="宋体" w:hAnsi="宋体" w:eastAsia="宋体" w:cs="Times New Roman"/>
          <w:b/>
          <w:sz w:val="24"/>
          <w:szCs w:val="24"/>
        </w:rPr>
        <w:t>五</w:t>
      </w:r>
      <w:r>
        <w:rPr>
          <w:rFonts w:ascii="宋体" w:hAnsi="宋体" w:eastAsia="宋体" w:cs="Times New Roman"/>
          <w:b/>
          <w:sz w:val="24"/>
          <w:szCs w:val="24"/>
        </w:rPr>
        <w:t>）参与</w:t>
      </w:r>
      <w:r>
        <w:rPr>
          <w:rFonts w:hint="eastAsia" w:ascii="宋体" w:hAnsi="宋体" w:eastAsia="宋体" w:cs="Times New Roman"/>
          <w:b/>
          <w:sz w:val="24"/>
          <w:szCs w:val="24"/>
        </w:rPr>
        <w:t>比选</w:t>
      </w:r>
      <w:r>
        <w:rPr>
          <w:rFonts w:ascii="宋体" w:hAnsi="宋体" w:eastAsia="宋体" w:cs="Times New Roman"/>
          <w:b/>
          <w:sz w:val="24"/>
          <w:szCs w:val="24"/>
        </w:rPr>
        <w:t>的费用</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申请人应自行承担参加比选活动的一切费用。</w:t>
      </w:r>
    </w:p>
    <w:p>
      <w:pPr>
        <w:spacing w:line="360" w:lineRule="auto"/>
        <w:ind w:firstLine="482" w:firstLineChars="200"/>
        <w:outlineLvl w:val="2"/>
        <w:rPr>
          <w:rFonts w:ascii="宋体" w:hAnsi="宋体" w:eastAsia="宋体"/>
          <w:b/>
          <w:sz w:val="24"/>
        </w:rPr>
      </w:pPr>
      <w:r>
        <w:rPr>
          <w:rFonts w:ascii="宋体" w:hAnsi="宋体" w:eastAsia="宋体"/>
          <w:b/>
          <w:sz w:val="24"/>
        </w:rPr>
        <w:t>（</w:t>
      </w:r>
      <w:r>
        <w:rPr>
          <w:rFonts w:hint="eastAsia" w:ascii="宋体" w:hAnsi="宋体" w:eastAsia="宋体"/>
          <w:b/>
          <w:sz w:val="24"/>
        </w:rPr>
        <w:t>六</w:t>
      </w:r>
      <w:r>
        <w:rPr>
          <w:rFonts w:ascii="宋体" w:hAnsi="宋体" w:eastAsia="宋体"/>
          <w:b/>
          <w:sz w:val="24"/>
        </w:rPr>
        <w:t>）联合体响应</w:t>
      </w:r>
      <w:r>
        <w:rPr>
          <w:rFonts w:hint="eastAsia" w:ascii="宋体" w:hAnsi="宋体" w:eastAsia="宋体"/>
          <w:b/>
          <w:sz w:val="24"/>
        </w:rPr>
        <w:t>（实质性要求）</w:t>
      </w:r>
    </w:p>
    <w:p>
      <w:pPr>
        <w:spacing w:line="360" w:lineRule="auto"/>
        <w:ind w:firstLine="480" w:firstLineChars="200"/>
        <w:rPr>
          <w:rFonts w:ascii="宋体" w:hAnsi="宋体" w:eastAsia="宋体"/>
        </w:rPr>
      </w:pPr>
      <w:r>
        <w:rPr>
          <w:rFonts w:hint="eastAsia" w:ascii="宋体" w:hAnsi="宋体" w:eastAsia="宋体" w:cs="Times New Roman"/>
          <w:sz w:val="24"/>
          <w:szCs w:val="24"/>
        </w:rPr>
        <w:t>1.本项目是否接受联合体响应，以“申请人须知附表”为准。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b/>
          <w:sz w:val="24"/>
        </w:rPr>
        <w:t>（</w:t>
      </w:r>
      <w:r>
        <w:rPr>
          <w:rFonts w:hint="eastAsia" w:ascii="宋体" w:hAnsi="宋体" w:eastAsia="宋体"/>
          <w:b/>
          <w:sz w:val="24"/>
        </w:rPr>
        <w:t>以下仅适用</w:t>
      </w:r>
      <w:r>
        <w:rPr>
          <w:rFonts w:ascii="宋体" w:hAnsi="宋体" w:eastAsia="宋体"/>
          <w:b/>
          <w:sz w:val="24"/>
        </w:rPr>
        <w:t>接受联合体响应</w:t>
      </w:r>
      <w:r>
        <w:rPr>
          <w:rFonts w:hint="eastAsia" w:ascii="宋体" w:hAnsi="宋体" w:eastAsia="宋体"/>
          <w:b/>
          <w:sz w:val="24"/>
        </w:rPr>
        <w:t>的情形</w:t>
      </w:r>
      <w:r>
        <w:rPr>
          <w:rFonts w:ascii="宋体" w:hAnsi="宋体" w:eastAsia="宋体"/>
          <w:b/>
          <w:sz w:val="24"/>
        </w:rPr>
        <w:t>）</w:t>
      </w:r>
      <w:r>
        <w:rPr>
          <w:rFonts w:hint="eastAsia" w:ascii="宋体" w:hAnsi="宋体" w:eastAsia="宋体" w:cs="Times New Roman"/>
          <w:sz w:val="24"/>
          <w:szCs w:val="24"/>
        </w:rPr>
        <w:t>两个以上申请人可以组成一个联合体比选，以一个申请人的身份比选。以联合体形式参加比选的，联合体各方均应当符合《中华人民共和国政府采购法》第二十二条规定的条件。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3.联合体各方之间应当签订联合体比选协议，明确约定联合体各方承担的工作和相应的责任。联合体参与比选的，应在比选申请文件中提供联合体协议。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4.联合体应当确定其中一个单位为比选的全权代表，负责参加比选的一切事务。</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5.联合体各方应当共同与比选人签订采购合同，就采购合同约定的事项对比选人承担连带责任。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6.联合体中有同类资质的申请人按照联合体分工承担相同工作的，将按照资质等级较低的申请人确定资质等级。</w:t>
      </w:r>
    </w:p>
    <w:p>
      <w:pPr>
        <w:spacing w:line="360" w:lineRule="auto"/>
        <w:ind w:firstLine="480" w:firstLineChars="200"/>
        <w:rPr>
          <w:rFonts w:ascii="宋体" w:hAnsi="宋体" w:eastAsia="宋体"/>
        </w:rPr>
      </w:pPr>
      <w:r>
        <w:rPr>
          <w:rFonts w:hint="eastAsia" w:ascii="宋体" w:hAnsi="宋体" w:eastAsia="宋体" w:cs="Times New Roman"/>
          <w:sz w:val="24"/>
          <w:szCs w:val="24"/>
        </w:rPr>
        <w:t>7.以联合体形式参加比选活动的，联合体各方不得再单独参加或者与其他申请人另外组成联合体参加同一合同项下的比选活动。</w:t>
      </w:r>
    </w:p>
    <w:p>
      <w:pPr>
        <w:spacing w:line="360" w:lineRule="auto"/>
        <w:ind w:firstLine="562" w:firstLineChars="200"/>
        <w:jc w:val="center"/>
        <w:outlineLvl w:val="1"/>
        <w:rPr>
          <w:rFonts w:ascii="宋体" w:hAnsi="宋体" w:eastAsia="宋体" w:cs="Times New Roman"/>
          <w:b/>
          <w:sz w:val="28"/>
          <w:szCs w:val="28"/>
        </w:rPr>
      </w:pPr>
      <w:r>
        <w:rPr>
          <w:rFonts w:ascii="宋体" w:hAnsi="宋体" w:eastAsia="宋体" w:cs="Times New Roman"/>
          <w:b/>
          <w:sz w:val="28"/>
          <w:szCs w:val="28"/>
        </w:rPr>
        <w:t>三、</w:t>
      </w:r>
      <w:r>
        <w:rPr>
          <w:rFonts w:hint="eastAsia" w:ascii="宋体" w:hAnsi="宋体" w:eastAsia="宋体" w:cs="Times New Roman"/>
          <w:b/>
          <w:sz w:val="28"/>
          <w:szCs w:val="28"/>
        </w:rPr>
        <w:t>比选</w:t>
      </w:r>
      <w:r>
        <w:rPr>
          <w:rFonts w:ascii="宋体" w:hAnsi="宋体" w:eastAsia="宋体" w:cs="Times New Roman"/>
          <w:b/>
          <w:sz w:val="28"/>
          <w:szCs w:val="28"/>
        </w:rPr>
        <w:t>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（一）比选文件的构成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1.比选文件是申请人准备比选申请文件和参加比选的依据，同时也是比选的重要依据。比选文件用以阐明比选项目所需的资质、技术、服务及报价等要求、比选程序、有关规定和注意事项以及合同主要条款等。</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应认真阅读和充分理解比选文件中所有的事项、格式条款和规范要求。申请人应详细阅读比选文件的全部内容，按照比选文件的要求提供比选申请文件，并保证所提供的全部资料的真实性和有效性，一经发现有虚假行为的，将取消其参加比选或中选资格，并承担相应的法律责任。</w:t>
      </w:r>
      <w:bookmarkStart w:id="6" w:name="_Toc183582211"/>
      <w:bookmarkStart w:id="7" w:name="_Toc183682348"/>
      <w:bookmarkStart w:id="8" w:name="_Toc217446040"/>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（二）比选文件的澄清</w:t>
      </w:r>
      <w:bookmarkEnd w:id="6"/>
      <w:bookmarkEnd w:id="7"/>
      <w:r>
        <w:rPr>
          <w:rFonts w:hint="eastAsia" w:ascii="宋体" w:hAnsi="宋体" w:eastAsia="宋体" w:cs="Times New Roman"/>
          <w:b/>
          <w:sz w:val="24"/>
          <w:szCs w:val="24"/>
        </w:rPr>
        <w:t>和修改</w:t>
      </w:r>
      <w:bookmarkEnd w:id="8"/>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1.在提交比选申请文件截止时间前，比选人可以对比选文件进行澄清或者修改。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2.比选人对已发出的比选文件进行澄清或者修改，比选人将在网上发布更正公告。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应于提交比选申请文件截止前，在网上关注本项目的更正公告，以保证其对比选文件做出正确的响应。申请人未按要求下载相关文件，或由于未及时关注更正公告的信息造成的后果，其责任由申请人自行负责。</w:t>
      </w:r>
    </w:p>
    <w:p>
      <w:pPr>
        <w:spacing w:line="360" w:lineRule="auto"/>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四、比选申请文件</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（一）比选申请文件的组成</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1.申请人应按照比选文件的规定和要求编制比选申请文件。</w:t>
      </w:r>
      <w:r>
        <w:rPr>
          <w:rFonts w:hint="eastAsia" w:ascii="宋体" w:hAnsi="宋体" w:eastAsia="宋体" w:cs="Times New Roman"/>
          <w:b/>
          <w:bCs/>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（二）比选申请文件的语言（实质性要求）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提交的比选申请文件以及申请人就有关报价的所有来往书面文件均应使用中文。比选申请文件中如附有外文资料，应当逐一对应翻译成中文并加盖申请人公章后附在相关外文资料后面，所提供的外文资料将被视为无效材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2.翻译的中文资料与外文资料如果出现差异和矛盾时，以中文为准。涉嫌虚假响应的按照相关法律法规处理。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3.如因未翻译而造成的比选申请文件无效风险，由申请人承担。</w:t>
      </w:r>
    </w:p>
    <w:p>
      <w:pPr>
        <w:spacing w:line="360" w:lineRule="auto"/>
        <w:ind w:firstLine="480" w:firstLineChars="200"/>
        <w:rPr>
          <w:rFonts w:ascii="宋体" w:hAnsi="宋体" w:eastAsia="宋体"/>
        </w:rPr>
      </w:pPr>
      <w:r>
        <w:rPr>
          <w:rFonts w:hint="eastAsia" w:ascii="宋体" w:hAnsi="宋体" w:eastAsia="宋体" w:cs="Times New Roman"/>
          <w:sz w:val="24"/>
          <w:szCs w:val="24"/>
        </w:rPr>
        <w:t>4.比选申请文件对不同文字文本的解释发生异议的，以中文文本为准。</w:t>
      </w:r>
      <w:bookmarkStart w:id="9" w:name="_Toc183682353"/>
      <w:bookmarkStart w:id="10" w:name="_Toc217446044"/>
      <w:bookmarkStart w:id="11" w:name="_Toc183582216"/>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（三）计量单位</w:t>
      </w:r>
      <w:bookmarkEnd w:id="9"/>
      <w:bookmarkEnd w:id="10"/>
      <w:bookmarkEnd w:id="11"/>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b/>
          <w:bCs/>
          <w:sz w:val="24"/>
        </w:rPr>
      </w:pPr>
      <w:r>
        <w:rPr>
          <w:rFonts w:hint="eastAsia" w:ascii="宋体" w:hAnsi="宋体" w:eastAsia="宋体" w:cs="Times New Roman"/>
          <w:sz w:val="24"/>
          <w:szCs w:val="24"/>
        </w:rPr>
        <w:t>除比选文件中另有规定外，本次比选项目所有合同项下的报价均采用国家法定的计量单位。</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（四）报价（实质性要求）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1.本次比选项目的报价货币为人民币，报价以比选文件规定为准。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2.申请人的报价应是申请人响应比选项目要求的全部工作内容的价格体现，是最终用户验收合格后的总价，包含了申请人完成本项目所需的一切费用，即项目包干价。</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（五）比选申请文件有效期（实质性要求）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项目比选申请文件有效期为提交比选首次比选申请文件截止之日起90天。申请人比选申请文件中必须载明比选申请文件有效期，比选申请文件中载明的比选申请文件有效期可以长于比选文件规定的期限，但不得短于比选文件规定的期限。否则，其比选申请文件将作为无效响应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（六）知识产权（实质性要求）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保证在本项目中使用的任何产品和服务（包括部分使用），不会产生因第三方提出侵犯其专利权、商标权或其它知识产权而引起的法律和经济纠纷，如因专利权、商标权或其它知识产权而引起法律和经济纠纷，由申请人承担所有相关责任。</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2.除非比选文件特别规定，比选人享有本项目实施过程中产生的知识成果及知识产权。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申请人如欲在项目实施过程中采用自有知识成果，使用该知识成果后，申请人需提供开发接口和开发手册等技术文档，并承诺提供无限期技术支持，比选人享有永久使用权（含比选人委托第三方在该项目后续开发的使用权）。</w:t>
      </w:r>
    </w:p>
    <w:p>
      <w:pPr>
        <w:spacing w:line="360" w:lineRule="auto"/>
        <w:ind w:firstLine="480" w:firstLineChars="200"/>
        <w:rPr>
          <w:rFonts w:ascii="宋体" w:hAnsi="宋体" w:eastAsia="宋体"/>
        </w:rPr>
      </w:pPr>
      <w:r>
        <w:rPr>
          <w:rFonts w:hint="eastAsia" w:ascii="宋体" w:hAnsi="宋体" w:eastAsia="宋体" w:cs="Times New Roman"/>
          <w:sz w:val="24"/>
          <w:szCs w:val="24"/>
        </w:rPr>
        <w:t>4.如采用申请人所不拥有的知识产权，则在报价中必须包括合法获取该知识产权的相关费用。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（七）比选申请文件格式</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1.申请人应执行比选文件第六章的规定要求。</w:t>
      </w:r>
    </w:p>
    <w:p>
      <w:pPr>
        <w:spacing w:line="360" w:lineRule="auto"/>
        <w:ind w:firstLine="480" w:firstLineChars="200"/>
        <w:rPr>
          <w:rFonts w:ascii="宋体" w:hAnsi="宋体" w:eastAsia="宋体" w:cs="Times New Roman"/>
          <w:b/>
          <w:sz w:val="24"/>
          <w:szCs w:val="24"/>
        </w:rPr>
      </w:pPr>
      <w:r>
        <w:rPr>
          <w:rFonts w:hint="eastAsia" w:ascii="宋体" w:hAnsi="宋体" w:eastAsia="宋体" w:cs="Times New Roman"/>
          <w:sz w:val="24"/>
          <w:szCs w:val="24"/>
        </w:rPr>
        <w:t>2.对于没有格式要求的比选文件由申请人自行编写。</w:t>
      </w:r>
    </w:p>
    <w:p>
      <w:pPr>
        <w:pStyle w:val="4"/>
        <w:keepNext w:val="0"/>
        <w:keepLines w:val="0"/>
        <w:spacing w:before="0" w:after="0" w:line="360" w:lineRule="auto"/>
        <w:ind w:firstLine="482" w:firstLineChars="200"/>
        <w:rPr>
          <w:rFonts w:ascii="宋体" w:hAnsi="宋体" w:eastAsia="宋体"/>
          <w:sz w:val="24"/>
        </w:rPr>
      </w:pPr>
      <w:r>
        <w:rPr>
          <w:rFonts w:hint="eastAsia" w:ascii="宋体" w:hAnsi="宋体" w:eastAsia="宋体" w:cs="Times New Roman"/>
          <w:sz w:val="24"/>
          <w:szCs w:val="24"/>
        </w:rPr>
        <w:t>（八）比选申请文件的编制和签署</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1.比选申请文件正本1份。</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2.比选申请文件密封袋的最外层可以注明比选项目名称、比选项目编号、包号及名称（若有）、申请人名称、“正本”字样。</w:t>
      </w:r>
    </w:p>
    <w:p>
      <w:pPr>
        <w:spacing w:line="360" w:lineRule="auto"/>
        <w:ind w:firstLine="480" w:firstLineChars="200"/>
        <w:rPr>
          <w:rFonts w:ascii="宋体" w:hAnsi="宋体" w:eastAsia="宋体"/>
        </w:rPr>
      </w:pPr>
      <w:r>
        <w:rPr>
          <w:rFonts w:hint="eastAsia" w:ascii="宋体" w:hAnsi="宋体" w:eastAsia="宋体" w:cs="Times New Roman"/>
          <w:sz w:val="24"/>
          <w:szCs w:val="24"/>
        </w:rPr>
        <w:t>3.比选申请文件应根据比选文件的要求签署、盖章。</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4.比选申请文件正本可采用打印或用不褪色、不变质的墨水书写。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比选申请文件的打印和书写应清楚工整，任何行间插字、涂改或增删，必须由申请人的法定代表人/单位负责人或其授权代表签字并盖申请人公章。字迹潦草、表达不清或可能导致非唯一理解的比选申请文件可能被作为无效处理。</w:t>
      </w:r>
      <w:r>
        <w:rPr>
          <w:rFonts w:hint="eastAsia" w:ascii="宋体" w:hAnsi="宋体" w:eastAsia="宋体" w:cs="Times New Roman"/>
          <w:b/>
          <w:bCs/>
          <w:sz w:val="24"/>
          <w:szCs w:val="32"/>
        </w:rPr>
        <w:t>（实质性要求）</w:t>
      </w:r>
    </w:p>
    <w:p>
      <w:pPr>
        <w:spacing w:line="360" w:lineRule="auto"/>
        <w:ind w:firstLine="480" w:firstLineChars="200"/>
        <w:rPr>
          <w:rFonts w:ascii="宋体" w:hAnsi="宋体" w:eastAsia="宋体" w:cs="Times New Roman"/>
          <w:b/>
          <w:bCs/>
          <w:sz w:val="24"/>
          <w:szCs w:val="24"/>
        </w:rPr>
      </w:pPr>
      <w:r>
        <w:rPr>
          <w:rFonts w:hint="eastAsia" w:ascii="宋体" w:hAnsi="宋体" w:eastAsia="宋体" w:cs="Times New Roman"/>
          <w:sz w:val="24"/>
          <w:szCs w:val="24"/>
        </w:rPr>
        <w:t>6.比选申请文件应由申请人法定代表人/主要负责人/本人或其授权代表在比选申请文件要求的地方签字（注：申请人为法人的，应当由其法定代表人或者授权代表签字确认；申请人为其他组织的，应当由其主要负责人或者授权代表签字确认；申请人为自然人的，应当由其本人或者授权代表签字确认）或加盖私人印章，要求加盖公章的地方加盖单位公章，不得使用专用章（如经济合同章、投标专用章等）或下属单位印章代替。</w:t>
      </w:r>
      <w:r>
        <w:rPr>
          <w:rFonts w:hint="eastAsia" w:ascii="宋体" w:hAnsi="宋体" w:eastAsia="宋体" w:cs="Times New Roman"/>
          <w:b/>
          <w:bCs/>
          <w:sz w:val="24"/>
          <w:szCs w:val="24"/>
        </w:rPr>
        <w:t>（实质性要求）</w:t>
      </w:r>
    </w:p>
    <w:p>
      <w:pPr>
        <w:spacing w:line="360" w:lineRule="auto"/>
        <w:ind w:firstLine="480" w:firstLineChars="200"/>
        <w:rPr>
          <w:rFonts w:ascii="宋体" w:hAnsi="宋体" w:eastAsia="宋体"/>
          <w:b/>
          <w:sz w:val="24"/>
        </w:rPr>
      </w:pPr>
      <w:r>
        <w:rPr>
          <w:rFonts w:hint="eastAsia" w:ascii="宋体" w:hAnsi="宋体" w:eastAsia="宋体" w:cs="Times New Roman"/>
          <w:sz w:val="24"/>
          <w:szCs w:val="24"/>
        </w:rPr>
        <w:t>7.比选申请文件正本可以采用A4幅面纸胶装方式装订成册并逐页编码。</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（九）比选申请文件的密封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1.比选申请文件所有外层应当密封完好。</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2.未密封的比选申请文件，比选人将拒收或者在法定时间允许的范围内，要求修改完善后接收。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（十）比选申请文件的提交</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1.比选申请文件应在提交首次比选申请文件截止时间前送达。</w:t>
      </w:r>
      <w:r>
        <w:rPr>
          <w:rFonts w:hint="eastAsia" w:ascii="宋体" w:hAnsi="宋体" w:eastAsia="宋体" w:cs="Times New Roman"/>
          <w:b/>
          <w:sz w:val="24"/>
          <w:szCs w:val="24"/>
        </w:rPr>
        <w:t>（实质性要求）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2.逾期送达或者未密封的比选申请文件，必选人应当拒收。</w:t>
      </w:r>
      <w:r>
        <w:rPr>
          <w:rFonts w:hint="eastAsia" w:ascii="宋体" w:hAnsi="宋体" w:eastAsia="宋体" w:cs="Times New Roman"/>
          <w:b/>
          <w:sz w:val="24"/>
          <w:szCs w:val="24"/>
        </w:rPr>
        <w:t>（实质性要求）</w:t>
      </w:r>
    </w:p>
    <w:p>
      <w:pPr>
        <w:spacing w:line="360" w:lineRule="auto"/>
        <w:ind w:firstLine="482" w:firstLineChars="200"/>
        <w:outlineLvl w:val="2"/>
        <w:rPr>
          <w:rFonts w:ascii="宋体" w:hAnsi="宋体" w:eastAsia="宋体" w:cs="Times New Roman"/>
          <w:b/>
          <w:sz w:val="24"/>
          <w:szCs w:val="24"/>
        </w:rPr>
      </w:pPr>
      <w:bookmarkStart w:id="12" w:name="_Toc217446055"/>
      <w:bookmarkStart w:id="13" w:name="_Toc183682365"/>
      <w:bookmarkStart w:id="14" w:name="_Toc183582228"/>
      <w:r>
        <w:rPr>
          <w:rFonts w:hint="eastAsia" w:ascii="宋体" w:hAnsi="宋体" w:eastAsia="宋体" w:cs="Times New Roman"/>
          <w:b/>
          <w:sz w:val="24"/>
          <w:szCs w:val="24"/>
        </w:rPr>
        <w:t>（十一）比选申请文件的修改和撤回</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1.申请人不得在提交截止时间起至比选申请文件有效期期满前撤回其比选申请文件。</w:t>
      </w:r>
    </w:p>
    <w:p>
      <w:pPr>
        <w:spacing w:line="360" w:lineRule="auto"/>
        <w:ind w:firstLine="480" w:firstLineChars="200"/>
        <w:rPr>
          <w:rFonts w:ascii="宋体" w:hAnsi="宋体" w:eastAsia="宋体"/>
        </w:rPr>
      </w:pPr>
      <w:r>
        <w:rPr>
          <w:rFonts w:hint="eastAsia" w:ascii="宋体" w:hAnsi="宋体" w:eastAsia="宋体" w:cs="Times New Roman"/>
          <w:sz w:val="24"/>
          <w:szCs w:val="24"/>
        </w:rPr>
        <w:t>2.申请人对其提交的比选申请文件的真实性、合法性承担法律责任。</w:t>
      </w:r>
      <w:bookmarkEnd w:id="12"/>
      <w:bookmarkEnd w:id="13"/>
      <w:bookmarkEnd w:id="14"/>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五、比选会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1.比选人在比选文件规定的时间和地点组织比选，申请人须派代表参加并签到以证明其出席。</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2.比选会时，比选人对比选申请文件的密封情况进行检查。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3.当众宣布检查比选申请文件的密封情况。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4.宣布比选会结束。主持人宣布比选会结束后，所有申请人代表应立即退场。</w:t>
      </w:r>
    </w:p>
    <w:p>
      <w:pPr>
        <w:tabs>
          <w:tab w:val="left" w:pos="7665"/>
        </w:tabs>
        <w:spacing w:line="520" w:lineRule="exact"/>
        <w:ind w:firstLine="562" w:firstLineChars="200"/>
        <w:jc w:val="center"/>
        <w:outlineLvl w:val="1"/>
        <w:rPr>
          <w:rFonts w:ascii="宋体" w:hAnsi="宋体" w:eastAsia="宋体" w:cs="Times New Roman"/>
          <w:b/>
          <w:sz w:val="28"/>
          <w:szCs w:val="28"/>
        </w:rPr>
      </w:pPr>
      <w:r>
        <w:rPr>
          <w:rFonts w:hint="eastAsia" w:ascii="宋体" w:hAnsi="宋体" w:eastAsia="宋体" w:cs="Times New Roman"/>
          <w:b/>
          <w:sz w:val="28"/>
          <w:szCs w:val="28"/>
        </w:rPr>
        <w:t>六、比选评审</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（一）比选评审</w:t>
      </w:r>
    </w:p>
    <w:p>
      <w:pPr>
        <w:spacing w:line="360" w:lineRule="auto"/>
        <w:ind w:firstLine="480" w:firstLineChars="200"/>
        <w:rPr>
          <w:rFonts w:ascii="宋体" w:hAnsi="宋体" w:eastAsia="宋体" w:cs="Times New Roman"/>
          <w:b/>
          <w:sz w:val="28"/>
          <w:szCs w:val="28"/>
        </w:rPr>
      </w:pPr>
      <w:r>
        <w:rPr>
          <w:rFonts w:hint="eastAsia" w:ascii="宋体" w:hAnsi="宋体" w:eastAsia="宋体" w:cs="Times New Roman"/>
          <w:sz w:val="24"/>
          <w:szCs w:val="24"/>
        </w:rPr>
        <w:t>详见第五章</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（二）成交通知书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1.成交通知书为签订采购合同的依据之一，是合同的有效组成部分。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2成交通知书对比选人和中选人均具有法律效力。成交通知书发出后，比选人无正当理由改变中选结果，或者中选人无正当理由放弃中选的，将承担相应的法律责任。</w:t>
      </w:r>
    </w:p>
    <w:p>
      <w:pPr>
        <w:spacing w:line="360" w:lineRule="auto"/>
        <w:ind w:firstLine="480" w:firstLineChars="200"/>
        <w:rPr>
          <w:rFonts w:ascii="宋体" w:hAnsi="宋体" w:eastAsia="宋体"/>
        </w:rPr>
      </w:pPr>
      <w:r>
        <w:rPr>
          <w:rFonts w:hint="eastAsia" w:ascii="宋体" w:hAnsi="宋体" w:eastAsia="宋体" w:cs="Times New Roman"/>
          <w:sz w:val="24"/>
          <w:szCs w:val="24"/>
        </w:rPr>
        <w:t>3.中选人的比选申请文件作为无效比选申请文件处理或者有政府采购法律法规规章制度规定的中选无效情形的，比选人在取得有权主体的认定以后，有权宣布发出的成交通知书无效，并收回发出的成交通知书，依法重新确定中选人或者重新开展比选活动。</w:t>
      </w:r>
    </w:p>
    <w:p>
      <w:p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七、合同事项</w:t>
      </w:r>
    </w:p>
    <w:p>
      <w:pPr>
        <w:spacing w:line="360" w:lineRule="auto"/>
        <w:ind w:firstLine="482" w:firstLineChars="200"/>
        <w:outlineLvl w:val="2"/>
        <w:rPr>
          <w:rFonts w:ascii="宋体" w:hAnsi="宋体" w:eastAsia="宋体" w:cs="Times New Roman"/>
          <w:b/>
          <w:sz w:val="24"/>
          <w:szCs w:val="24"/>
        </w:rPr>
      </w:pPr>
      <w:bookmarkStart w:id="15" w:name="_Toc101174151"/>
      <w:bookmarkStart w:id="16" w:name="_Toc209847069"/>
      <w:bookmarkStart w:id="17" w:name="_Toc101338364"/>
      <w:bookmarkStart w:id="18" w:name="_Toc101250646"/>
      <w:bookmarkStart w:id="19" w:name="_Toc430773927"/>
      <w:r>
        <w:rPr>
          <w:rFonts w:hint="eastAsia" w:ascii="宋体" w:hAnsi="宋体" w:eastAsia="宋体" w:cs="Times New Roman"/>
          <w:b/>
          <w:sz w:val="24"/>
          <w:szCs w:val="24"/>
        </w:rPr>
        <w:t>（一）签订合同</w:t>
      </w:r>
      <w:bookmarkEnd w:id="15"/>
      <w:bookmarkEnd w:id="16"/>
      <w:bookmarkEnd w:id="17"/>
      <w:bookmarkEnd w:id="18"/>
      <w:bookmarkEnd w:id="19"/>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1.中选人应在成交通知书发出之日起30日内与比选人签订采购合同。由于中选人的原因逾期未与比选人签订采购合同的，将视为放弃中选，取消其中选资格并将按相关规定进行处理。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2.比选文件、中选人的比选申请文件及双方确认的澄清文件等，均为有法律约束力的经济合同的组成部分。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3.比选人不得向中选人提出任何不合理的要求，作为签订合同的条件，不得与中选人私下订立背离合同实质性内容的任何协议，所签订的合同不得对比选文件和中选人比选申请文件确定的事项进行修改。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4.中选人因不可抗力原因不能履行采购合同或放弃中选的，比选人可以与排在中选人之后第一位的中选候选人签订采购合同，以此类推。</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5.比选文件、中选人提交的比选申请文件、比选中的最后报价、中选人承诺书、成交通知书等均称为有法律约束力的合同组成内容。</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（二）履行合同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1.中选人与比选人签订合同后，合同双方应严格执行合同条款，履行合同规定的义务，保证合同的顺利完成。</w:t>
      </w:r>
    </w:p>
    <w:p>
      <w:pPr>
        <w:spacing w:line="360" w:lineRule="auto"/>
        <w:ind w:firstLine="480" w:firstLineChars="200"/>
        <w:rPr>
          <w:rFonts w:ascii="宋体" w:hAnsi="宋体" w:eastAsia="宋体"/>
          <w:sz w:val="24"/>
        </w:rPr>
      </w:pPr>
      <w:r>
        <w:rPr>
          <w:rFonts w:hint="eastAsia" w:ascii="宋体" w:hAnsi="宋体" w:eastAsia="宋体" w:cs="Times New Roman"/>
          <w:sz w:val="24"/>
          <w:szCs w:val="24"/>
        </w:rPr>
        <w:t>2.在合同履行过程中，如发生合同纠纷，合同双方应按照《中华人民共和国民法典》的有关规定进行处理。</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（三）验收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1.本项目比选人将参照政府采购相关法律法规以及《财政部关于进一步加强政府采购需求和履约验收管理的指导意见》（财库〔2016〕205号）、《政府采购需求管理办法》（财库〔2021〕22号）的要求进行验收。</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2.验收结果合格的，中选人凭验收报告办理相关手续；验收结果不合格的，比选人有权要求中选人履行相关义务，直到验收合格。</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（四）合同价款支付</w:t>
      </w:r>
    </w:p>
    <w:p>
      <w:pPr>
        <w:spacing w:line="360" w:lineRule="auto"/>
        <w:ind w:firstLine="480" w:firstLineChars="200"/>
        <w:rPr>
          <w:rFonts w:ascii="宋体" w:hAnsi="宋体" w:eastAsia="宋体"/>
        </w:rPr>
      </w:pPr>
      <w:r>
        <w:rPr>
          <w:rFonts w:hint="eastAsia" w:ascii="宋体" w:hAnsi="宋体" w:eastAsia="宋体" w:cs="Times New Roman"/>
          <w:sz w:val="24"/>
          <w:szCs w:val="24"/>
        </w:rPr>
        <w:t>比选人将按照采购合同规定，及时向中选人支付采购资金。本项目采购资金付款详见第四章规定的付款方式。</w:t>
      </w:r>
    </w:p>
    <w:p>
      <w:pPr>
        <w:numPr>
          <w:ilvl w:val="0"/>
          <w:numId w:val="4"/>
        </w:numPr>
        <w:spacing w:line="360" w:lineRule="auto"/>
        <w:ind w:firstLine="281" w:firstLineChars="100"/>
        <w:jc w:val="center"/>
        <w:outlineLvl w:val="1"/>
        <w:rPr>
          <w:rFonts w:ascii="宋体" w:hAnsi="宋体" w:eastAsia="宋体" w:cs="Times New Roman"/>
          <w:b/>
          <w:sz w:val="28"/>
          <w:szCs w:val="28"/>
        </w:rPr>
      </w:pPr>
      <w:r>
        <w:rPr>
          <w:rFonts w:hint="eastAsia" w:ascii="宋体" w:hAnsi="宋体" w:eastAsia="宋体" w:cs="Times New Roman"/>
          <w:b/>
          <w:sz w:val="28"/>
          <w:szCs w:val="28"/>
        </w:rPr>
        <w:t>比选纪律要求（实质性要求）</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（一）申请人纪律要求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1.申请人应当遵循公平竞争的原则，不得恶意串通，不得妨碍其他申请人的竞争行为，不得损害比选人或者其他申请人的合法权益。</w:t>
      </w:r>
    </w:p>
    <w:p>
      <w:pPr>
        <w:spacing w:line="360" w:lineRule="auto"/>
        <w:ind w:firstLine="480" w:firstLineChars="200"/>
        <w:rPr>
          <w:rFonts w:ascii="宋体" w:hAnsi="宋体" w:eastAsia="宋体"/>
        </w:rPr>
      </w:pPr>
      <w:r>
        <w:rPr>
          <w:rFonts w:hint="eastAsia" w:ascii="宋体" w:hAnsi="宋体" w:eastAsia="宋体" w:cs="Times New Roman"/>
          <w:sz w:val="24"/>
          <w:szCs w:val="24"/>
        </w:rPr>
        <w:t>2.在比选过程中发现申请人有上述情形的，比选评审委员会应当认定其无效响应，并书面报告主管部门。</w:t>
      </w:r>
    </w:p>
    <w:p>
      <w:pPr>
        <w:spacing w:line="360" w:lineRule="auto"/>
        <w:ind w:firstLine="482" w:firstLineChars="200"/>
        <w:outlineLvl w:val="2"/>
        <w:rPr>
          <w:rFonts w:ascii="宋体" w:hAnsi="宋体" w:eastAsia="宋体" w:cs="Times New Roman"/>
          <w:b/>
          <w:sz w:val="24"/>
          <w:szCs w:val="24"/>
        </w:rPr>
      </w:pPr>
      <w:r>
        <w:rPr>
          <w:rFonts w:hint="eastAsia" w:ascii="宋体" w:hAnsi="宋体" w:eastAsia="宋体" w:cs="Times New Roman"/>
          <w:b/>
          <w:sz w:val="24"/>
          <w:szCs w:val="24"/>
        </w:rPr>
        <w:t>（二）申请人禁止性行为，申请人参加本项目比选不得具有以下情形：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（1）提供虚假材料谋取中选；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（2）采取不正当手段诋毁、排挤其他申请人；</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（3）与比选人、比选代理机构、或其他申请人恶意串通；</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（4）向比选人、比选代理机构、比选评审委员会成员行贿或者提供其他不正当利益；</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（5）在比选过程中与比选人、比选代理机构进行协商；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（6）中选后无正当理由拒不与比选人签订采购合同；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（7）未按照比选文件确定的事项签订采购合同；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（8）将采购合同转包或者违规分包；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（9）提供假冒伪劣产品；</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（10）擅自变更、中止或者终止采购合同；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（11）拒绝有关部门的监督检查或者向监督检查部门提供虚假情况；</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（12）法律法规规定的其他情形。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申请人有上述情形的，按照规定追究法律责任，具备（1）－（10）条情形之一的，同时将取消被确认为中选人的资格或者认定中选无效。</w:t>
      </w:r>
    </w:p>
    <w:p>
      <w:pPr>
        <w:spacing w:line="360" w:lineRule="auto"/>
        <w:ind w:firstLine="281" w:firstLineChars="100"/>
        <w:jc w:val="center"/>
        <w:outlineLvl w:val="1"/>
        <w:rPr>
          <w:rFonts w:ascii="宋体" w:hAnsi="宋体" w:eastAsia="宋体" w:cs="Times New Roman"/>
          <w:sz w:val="24"/>
          <w:szCs w:val="24"/>
        </w:rPr>
      </w:pPr>
      <w:r>
        <w:rPr>
          <w:rFonts w:hint="eastAsia" w:ascii="宋体" w:hAnsi="宋体" w:eastAsia="宋体" w:cs="Times New Roman"/>
          <w:b/>
          <w:sz w:val="28"/>
          <w:szCs w:val="28"/>
        </w:rPr>
        <w:t>九、其他</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本比选文件中所引相关法律制度规定，在采购中有变化的，按照变化后的相关法律制度规定执行。本章规定的内容条款，在本项目提交比选申请文件截止时间届满后，因相关法律制度规定的变化导致不符合相关法律制度规定的，直接按照变化后的相关法律制度规定执行，本比选文件不再做调整。</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比选文件内容前后有矛盾或不一致时：相关法律法规、规范性文件和强制性标准有专门规定的，以符合相关法律法规、规范性文件和强制性标准的为准；有时间先后顺序的，以时间在后的修改、澄清或补正文件为准；没有时间先后顺序的，以比选须知前附表为准，如前附表中无相关内容，在保证国家、集体和比选人利益不受损害的情况下按有利于申请人的原则进行处理。</w:t>
      </w:r>
    </w:p>
    <w:p>
      <w:pPr>
        <w:spacing w:line="360" w:lineRule="auto"/>
        <w:ind w:firstLine="480" w:firstLineChars="200"/>
        <w:rPr>
          <w:rFonts w:ascii="宋体" w:hAnsi="宋体" w:eastAsia="宋体"/>
        </w:rPr>
      </w:pPr>
      <w:r>
        <w:rPr>
          <w:rFonts w:hint="eastAsia" w:ascii="宋体" w:hAnsi="宋体" w:eastAsia="宋体" w:cs="Times New Roman"/>
          <w:sz w:val="24"/>
          <w:szCs w:val="24"/>
        </w:rPr>
        <w:t>（三）本项目涉及企业资质、产品认证、人员执业资格、行业标准等描述与国家最新要求不一致时以国家最新要求为准。</w:t>
      </w:r>
    </w:p>
    <w:p>
      <w:pPr>
        <w:rPr>
          <w:rFonts w:ascii="宋体" w:hAnsi="宋体" w:eastAsia="宋体"/>
        </w:rPr>
      </w:pPr>
      <w:r>
        <w:rPr>
          <w:rFonts w:ascii="宋体" w:hAnsi="宋体" w:eastAsia="宋体"/>
        </w:rPr>
        <w:br w:type="page"/>
      </w:r>
    </w:p>
    <w:p>
      <w:pPr>
        <w:spacing w:line="360" w:lineRule="auto"/>
        <w:jc w:val="center"/>
        <w:outlineLvl w:val="0"/>
        <w:rPr>
          <w:rFonts w:ascii="宋体" w:hAnsi="宋体" w:eastAsia="宋体"/>
          <w:bCs/>
          <w:sz w:val="36"/>
          <w:szCs w:val="36"/>
        </w:rPr>
      </w:pPr>
      <w:bookmarkStart w:id="20" w:name="_Toc28291"/>
      <w:r>
        <w:rPr>
          <w:rFonts w:ascii="宋体" w:hAnsi="宋体" w:eastAsia="宋体"/>
          <w:b/>
          <w:sz w:val="36"/>
          <w:szCs w:val="36"/>
        </w:rPr>
        <w:t>第</w:t>
      </w:r>
      <w:r>
        <w:rPr>
          <w:rFonts w:hint="eastAsia" w:ascii="宋体" w:hAnsi="宋体" w:eastAsia="宋体"/>
          <w:b/>
          <w:sz w:val="36"/>
          <w:szCs w:val="36"/>
        </w:rPr>
        <w:t>三</w:t>
      </w:r>
      <w:r>
        <w:rPr>
          <w:rFonts w:ascii="宋体" w:hAnsi="宋体" w:eastAsia="宋体"/>
          <w:b/>
          <w:sz w:val="36"/>
          <w:szCs w:val="36"/>
        </w:rPr>
        <w:t>章</w:t>
      </w:r>
      <w:r>
        <w:rPr>
          <w:rFonts w:hint="eastAsia" w:ascii="宋体" w:hAnsi="宋体" w:eastAsia="宋体"/>
          <w:b/>
          <w:sz w:val="36"/>
          <w:szCs w:val="36"/>
        </w:rPr>
        <w:t xml:space="preserve"> 资格条件要求以及应当提供的资格证明材料</w:t>
      </w:r>
      <w:bookmarkEnd w:id="20"/>
    </w:p>
    <w:p>
      <w:pPr>
        <w:widowControl/>
        <w:spacing w:line="360" w:lineRule="atLeast"/>
        <w:ind w:firstLine="470" w:firstLineChars="196"/>
        <w:rPr>
          <w:rFonts w:ascii="宋体" w:hAnsi="宋体" w:eastAsia="宋体"/>
          <w:sz w:val="24"/>
        </w:rPr>
      </w:pPr>
    </w:p>
    <w:tbl>
      <w:tblPr>
        <w:tblStyle w:val="25"/>
        <w:tblW w:w="5003"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2480"/>
        <w:gridCol w:w="5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390"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序号</w:t>
            </w:r>
          </w:p>
        </w:tc>
        <w:tc>
          <w:tcPr>
            <w:tcW w:w="1351" w:type="pct"/>
            <w:vAlign w:val="center"/>
          </w:tcPr>
          <w:p>
            <w:pPr>
              <w:adjustRightInd w:val="0"/>
              <w:spacing w:line="360" w:lineRule="exact"/>
              <w:jc w:val="center"/>
              <w:rPr>
                <w:rFonts w:ascii="宋体" w:hAnsi="宋体" w:eastAsia="宋体" w:cs="Times New Roman"/>
                <w:b/>
                <w:kern w:val="0"/>
                <w:sz w:val="24"/>
                <w:szCs w:val="24"/>
              </w:rPr>
            </w:pPr>
            <w:r>
              <w:rPr>
                <w:rFonts w:ascii="宋体" w:hAnsi="宋体" w:eastAsia="宋体" w:cs="Times New Roman"/>
                <w:b/>
                <w:kern w:val="0"/>
                <w:sz w:val="24"/>
                <w:szCs w:val="24"/>
              </w:rPr>
              <w:t>本项目的资格要求</w:t>
            </w:r>
          </w:p>
        </w:tc>
        <w:tc>
          <w:tcPr>
            <w:tcW w:w="3259" w:type="pct"/>
            <w:vAlign w:val="center"/>
          </w:tcPr>
          <w:p>
            <w:pPr>
              <w:adjustRightInd w:val="0"/>
              <w:spacing w:line="360" w:lineRule="exact"/>
              <w:jc w:val="center"/>
              <w:rPr>
                <w:rFonts w:ascii="宋体" w:hAnsi="宋体" w:eastAsia="宋体" w:cs="Times New Roman"/>
                <w:b/>
                <w:kern w:val="0"/>
                <w:sz w:val="24"/>
                <w:szCs w:val="24"/>
              </w:rPr>
            </w:pPr>
            <w:r>
              <w:rPr>
                <w:rFonts w:hint="eastAsia" w:ascii="宋体" w:hAnsi="宋体" w:eastAsia="宋体" w:cs="Times New Roman"/>
                <w:b/>
                <w:kern w:val="0"/>
                <w:sz w:val="24"/>
                <w:szCs w:val="24"/>
              </w:rPr>
              <w:t>申请人</w:t>
            </w:r>
            <w:r>
              <w:rPr>
                <w:rFonts w:ascii="宋体" w:hAnsi="宋体" w:eastAsia="宋体" w:cs="Times New Roman"/>
                <w:b/>
                <w:kern w:val="0"/>
                <w:sz w:val="24"/>
                <w:szCs w:val="24"/>
              </w:rPr>
              <w:t>应当提供的资格证明材料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390"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1</w:t>
            </w:r>
          </w:p>
        </w:tc>
        <w:tc>
          <w:tcPr>
            <w:tcW w:w="1351" w:type="pct"/>
            <w:vAlign w:val="center"/>
          </w:tcPr>
          <w:p>
            <w:pPr>
              <w:spacing w:line="360" w:lineRule="exact"/>
              <w:jc w:val="center"/>
              <w:rPr>
                <w:rFonts w:ascii="宋体" w:hAnsi="宋体" w:eastAsia="宋体" w:cs="Times New Roman"/>
                <w:bCs/>
                <w:kern w:val="0"/>
                <w:szCs w:val="21"/>
              </w:rPr>
            </w:pPr>
            <w:r>
              <w:rPr>
                <w:rFonts w:ascii="宋体" w:hAnsi="宋体" w:eastAsia="宋体" w:cs="Times New Roman"/>
                <w:b/>
                <w:kern w:val="0"/>
                <w:szCs w:val="21"/>
              </w:rPr>
              <w:t>具有独立承担民事责任的能力</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（1）申请人若为企业法人：提供“统一社会信用代码营业执照”；未换证的提供“营业执照、税务登记证、组织机构代码证或三证合一的营业执照”；</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（2）若为事业法人：提供“统一社会信用代码法人登记证书”；未换证的提交“事业法人登记证书、组织机构代码证”；</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（3）若为其他组织：提供“对应主管部门颁发的准许执业证明文件或营业执照”；</w:t>
            </w:r>
          </w:p>
          <w:p>
            <w:pPr>
              <w:adjustRightInd w:val="0"/>
              <w:spacing w:line="360" w:lineRule="exact"/>
              <w:jc w:val="left"/>
              <w:rPr>
                <w:rFonts w:ascii="宋体" w:hAnsi="宋体" w:eastAsia="宋体" w:cs="Times New Roman"/>
                <w:kern w:val="0"/>
                <w:szCs w:val="21"/>
              </w:rPr>
            </w:pPr>
            <w:r>
              <w:rPr>
                <w:rFonts w:hint="eastAsia" w:ascii="宋体" w:hAnsi="宋体" w:eastAsia="宋体" w:cs="Times New Roman"/>
                <w:bCs/>
                <w:kern w:val="0"/>
                <w:szCs w:val="21"/>
              </w:rPr>
              <w:t>（4）若为自然人：提供“身份证明材料”；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8" w:hRule="atLeast"/>
        </w:trPr>
        <w:tc>
          <w:tcPr>
            <w:tcW w:w="390" w:type="pct"/>
            <w:vAlign w:val="center"/>
          </w:tcPr>
          <w:p>
            <w:pPr>
              <w:spacing w:line="360" w:lineRule="exact"/>
              <w:jc w:val="center"/>
              <w:rPr>
                <w:rFonts w:ascii="宋体" w:hAnsi="宋体" w:eastAsia="宋体" w:cs="Times New Roman"/>
                <w:b/>
                <w:kern w:val="0"/>
                <w:szCs w:val="21"/>
              </w:rPr>
            </w:pPr>
            <w:r>
              <w:rPr>
                <w:rFonts w:ascii="宋体" w:hAnsi="宋体" w:eastAsia="宋体" w:cs="Times New Roman"/>
                <w:b/>
                <w:kern w:val="0"/>
                <w:szCs w:val="21"/>
              </w:rPr>
              <w:t>2</w:t>
            </w:r>
          </w:p>
        </w:tc>
        <w:tc>
          <w:tcPr>
            <w:tcW w:w="1351" w:type="pct"/>
            <w:vAlign w:val="center"/>
          </w:tcPr>
          <w:p>
            <w:pPr>
              <w:spacing w:line="360" w:lineRule="exact"/>
              <w:jc w:val="center"/>
              <w:rPr>
                <w:rFonts w:ascii="宋体" w:hAnsi="宋体" w:eastAsia="宋体" w:cs="Times New Roman"/>
                <w:b/>
                <w:kern w:val="0"/>
                <w:szCs w:val="21"/>
              </w:rPr>
            </w:pPr>
            <w:r>
              <w:rPr>
                <w:rFonts w:ascii="宋体" w:hAnsi="宋体" w:eastAsia="宋体" w:cs="Times New Roman"/>
                <w:b/>
                <w:kern w:val="0"/>
                <w:szCs w:val="21"/>
              </w:rPr>
              <w:t>具有健全的财务会计制度</w:t>
            </w:r>
          </w:p>
        </w:tc>
        <w:tc>
          <w:tcPr>
            <w:tcW w:w="3259" w:type="pct"/>
            <w:vAlign w:val="center"/>
          </w:tcPr>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
                <w:kern w:val="0"/>
                <w:szCs w:val="21"/>
              </w:rPr>
              <w:t>申请人根据自身情况选择提供其中任意一项：</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（1）可提供2022或2023年度经审计的财务报告复印件（包含审计报告和审计报告中所涉及的财务报表和报表附注）；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（2）也可提供申请人内部的2022或2023年度财务报表复印件（至少包含资产负债表）；</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（3）也可提供截至提交首次比选申请文件截止日一年内银行出具的资信证明（复印件）；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（4）申请人注册时间截至提交首次比选申请文件截止日不足一年的，也可提供工商管理部门备案的</w:t>
            </w:r>
            <w:r>
              <w:rPr>
                <w:rFonts w:hint="eastAsia" w:ascii="宋体" w:hAnsi="宋体" w:eastAsia="宋体" w:cs="Times New Roman"/>
                <w:bCs/>
                <w:kern w:val="0"/>
                <w:szCs w:val="21"/>
                <w:lang w:eastAsia="zh-CN"/>
              </w:rPr>
              <w:t>章程</w:t>
            </w:r>
            <w:r>
              <w:rPr>
                <w:rFonts w:hint="eastAsia" w:ascii="宋体" w:hAnsi="宋体" w:eastAsia="宋体" w:cs="Times New Roman"/>
                <w:bCs/>
                <w:kern w:val="0"/>
                <w:szCs w:val="21"/>
              </w:rPr>
              <w:t>（复印件）；</w:t>
            </w:r>
          </w:p>
          <w:p>
            <w:pPr>
              <w:adjustRightInd w:val="0"/>
              <w:spacing w:line="360" w:lineRule="exact"/>
              <w:jc w:val="left"/>
              <w:rPr>
                <w:rFonts w:ascii="宋体" w:hAnsi="宋体" w:eastAsia="宋体" w:cs="Times New Roman"/>
                <w:bCs/>
                <w:kern w:val="0"/>
                <w:szCs w:val="21"/>
              </w:rPr>
            </w:pPr>
            <w:r>
              <w:rPr>
                <w:rFonts w:hint="eastAsia" w:ascii="宋体" w:hAnsi="宋体" w:eastAsia="宋体" w:cs="Times New Roman"/>
                <w:bCs/>
                <w:kern w:val="0"/>
                <w:szCs w:val="21"/>
              </w:rPr>
              <w:t>（5）申请人为个体工商户或自然人时，可提供承诺函。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3</w:t>
            </w:r>
          </w:p>
        </w:tc>
        <w:tc>
          <w:tcPr>
            <w:tcW w:w="1351"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具有良好的商业信誉</w:t>
            </w:r>
            <w:r>
              <w:rPr>
                <w:rFonts w:hint="eastAsia" w:ascii="宋体" w:hAnsi="宋体" w:eastAsia="宋体" w:cs="Times New Roman"/>
                <w:b/>
                <w:kern w:val="0"/>
                <w:szCs w:val="21"/>
              </w:rPr>
              <w:t>和</w:t>
            </w:r>
            <w:r>
              <w:rPr>
                <w:rFonts w:ascii="宋体" w:hAnsi="宋体" w:eastAsia="宋体" w:cs="Times New Roman"/>
                <w:b/>
                <w:kern w:val="0"/>
                <w:szCs w:val="21"/>
              </w:rPr>
              <w:t>履行合同所必需的设备和专业技术能力</w:t>
            </w:r>
          </w:p>
        </w:tc>
        <w:tc>
          <w:tcPr>
            <w:tcW w:w="3259" w:type="pct"/>
            <w:vMerge w:val="restart"/>
            <w:vAlign w:val="center"/>
          </w:tcPr>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统一</w:t>
            </w:r>
            <w:r>
              <w:rPr>
                <w:rFonts w:ascii="宋体" w:hAnsi="宋体" w:eastAsia="宋体" w:cs="Times New Roman"/>
                <w:bCs/>
                <w:kern w:val="0"/>
                <w:szCs w:val="21"/>
              </w:rPr>
              <w:t>提供承诺函</w:t>
            </w:r>
          </w:p>
          <w:p>
            <w:pPr>
              <w:adjustRightInd w:val="0"/>
              <w:spacing w:line="240" w:lineRule="exact"/>
              <w:jc w:val="center"/>
              <w:rPr>
                <w:rFonts w:ascii="宋体" w:hAnsi="宋体" w:eastAsia="宋体" w:cs="Times New Roman"/>
                <w:bCs/>
                <w:kern w:val="0"/>
                <w:szCs w:val="21"/>
              </w:rPr>
            </w:pPr>
            <w:r>
              <w:rPr>
                <w:rFonts w:hint="eastAsia" w:ascii="宋体" w:hAnsi="宋体" w:eastAsia="宋体" w:cs="Times New Roman"/>
                <w:bCs/>
                <w:kern w:val="0"/>
                <w:szCs w:val="21"/>
              </w:rPr>
              <w:t>（格式详见第六章）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4</w:t>
            </w:r>
          </w:p>
        </w:tc>
        <w:tc>
          <w:tcPr>
            <w:tcW w:w="1351"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有依法缴纳税收和社会保障资金的良好记录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390"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5</w:t>
            </w:r>
          </w:p>
        </w:tc>
        <w:tc>
          <w:tcPr>
            <w:tcW w:w="1351" w:type="pct"/>
            <w:vAlign w:val="center"/>
          </w:tcPr>
          <w:p>
            <w:pPr>
              <w:spacing w:line="300" w:lineRule="exact"/>
              <w:jc w:val="center"/>
              <w:rPr>
                <w:rFonts w:ascii="宋体" w:hAnsi="宋体" w:eastAsia="宋体" w:cs="Times New Roman"/>
                <w:b/>
                <w:kern w:val="0"/>
                <w:szCs w:val="21"/>
              </w:rPr>
            </w:pPr>
            <w:r>
              <w:rPr>
                <w:rFonts w:hint="eastAsia" w:ascii="宋体" w:hAnsi="宋体" w:eastAsia="宋体" w:cs="Times New Roman"/>
                <w:b/>
                <w:kern w:val="0"/>
                <w:szCs w:val="21"/>
              </w:rPr>
              <w:t>参加本次比选活动前三年内，在经营活动中没有重大违法记录</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390"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6</w:t>
            </w:r>
          </w:p>
        </w:tc>
        <w:tc>
          <w:tcPr>
            <w:tcW w:w="1351" w:type="pct"/>
            <w:vAlign w:val="center"/>
          </w:tcPr>
          <w:p>
            <w:pPr>
              <w:spacing w:line="300" w:lineRule="exact"/>
              <w:jc w:val="center"/>
              <w:rPr>
                <w:rFonts w:ascii="宋体" w:hAnsi="宋体" w:eastAsia="宋体" w:cs="Times New Roman"/>
                <w:b/>
                <w:kern w:val="0"/>
                <w:szCs w:val="21"/>
              </w:rPr>
            </w:pPr>
            <w:r>
              <w:rPr>
                <w:rFonts w:ascii="宋体" w:hAnsi="宋体" w:eastAsia="宋体" w:cs="Times New Roman"/>
                <w:b/>
                <w:kern w:val="0"/>
                <w:szCs w:val="21"/>
              </w:rPr>
              <w:t>法律、行政法规规定的其他条件</w:t>
            </w:r>
          </w:p>
        </w:tc>
        <w:tc>
          <w:tcPr>
            <w:tcW w:w="3259" w:type="pct"/>
            <w:vMerge w:val="continue"/>
            <w:vAlign w:val="center"/>
          </w:tcPr>
          <w:p>
            <w:pPr>
              <w:adjustRightInd w:val="0"/>
              <w:spacing w:line="240" w:lineRule="exact"/>
              <w:rPr>
                <w:rFonts w:ascii="宋体" w:hAnsi="宋体"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7</w:t>
            </w:r>
          </w:p>
        </w:tc>
        <w:tc>
          <w:tcPr>
            <w:tcW w:w="1351" w:type="pct"/>
            <w:vAlign w:val="center"/>
          </w:tcPr>
          <w:p>
            <w:pPr>
              <w:spacing w:line="360" w:lineRule="exact"/>
              <w:jc w:val="center"/>
              <w:rPr>
                <w:rFonts w:ascii="宋体" w:hAnsi="宋体" w:eastAsia="宋体" w:cs="Times New Roman"/>
                <w:b/>
                <w:kern w:val="0"/>
                <w:szCs w:val="21"/>
              </w:rPr>
            </w:pPr>
            <w:r>
              <w:rPr>
                <w:rFonts w:hint="eastAsia" w:ascii="宋体" w:hAnsi="宋体" w:eastAsia="宋体" w:cs="Times New Roman"/>
                <w:b/>
                <w:kern w:val="0"/>
                <w:szCs w:val="21"/>
              </w:rPr>
              <w:t>其他类似效力要求：授权参加本次比选活动的申请人代表证明</w:t>
            </w:r>
          </w:p>
        </w:tc>
        <w:tc>
          <w:tcPr>
            <w:tcW w:w="3259" w:type="pct"/>
            <w:vAlign w:val="center"/>
          </w:tcPr>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（1）法定代表人/单位负责人授权书原件（非法定代表人或单位负责人参与比选时提供，格式见第六章）；</w:t>
            </w:r>
          </w:p>
          <w:p>
            <w:pPr>
              <w:adjustRightInd w:val="0"/>
              <w:spacing w:line="360" w:lineRule="exact"/>
              <w:rPr>
                <w:rFonts w:ascii="宋体" w:hAnsi="宋体" w:eastAsia="宋体" w:cs="Times New Roman"/>
                <w:bCs/>
                <w:kern w:val="0"/>
                <w:szCs w:val="21"/>
              </w:rPr>
            </w:pPr>
            <w:r>
              <w:rPr>
                <w:rFonts w:hint="eastAsia" w:ascii="宋体" w:hAnsi="宋体" w:eastAsia="宋体" w:cs="Times New Roman"/>
                <w:bCs/>
                <w:kern w:val="0"/>
                <w:szCs w:val="21"/>
              </w:rPr>
              <w:t>（2）法定代表人/单位负责人参与比选时只须提供法定代表人/单位负责人身份证复印件</w:t>
            </w:r>
          </w:p>
        </w:tc>
      </w:tr>
    </w:tbl>
    <w:p>
      <w:pPr>
        <w:rPr>
          <w:rFonts w:ascii="宋体" w:hAnsi="宋体" w:eastAsia="宋体"/>
        </w:rPr>
      </w:pPr>
      <w:r>
        <w:rPr>
          <w:rFonts w:ascii="宋体" w:hAnsi="宋体" w:eastAsia="宋体"/>
        </w:rPr>
        <w:br w:type="page"/>
      </w:r>
    </w:p>
    <w:p>
      <w:pPr>
        <w:pStyle w:val="2"/>
        <w:spacing w:before="0" w:after="0" w:line="240" w:lineRule="auto"/>
        <w:jc w:val="center"/>
        <w:rPr>
          <w:rFonts w:ascii="宋体" w:hAnsi="宋体" w:eastAsia="宋体"/>
          <w:bCs w:val="0"/>
          <w:kern w:val="2"/>
          <w:sz w:val="36"/>
          <w:szCs w:val="36"/>
        </w:rPr>
      </w:pPr>
      <w:bookmarkStart w:id="21" w:name="_Toc23416"/>
      <w:bookmarkStart w:id="22" w:name="_Toc13420"/>
      <w:bookmarkStart w:id="23" w:name="_Toc22092"/>
      <w:bookmarkStart w:id="24" w:name="_Toc18798"/>
      <w:r>
        <w:rPr>
          <w:rFonts w:ascii="宋体" w:hAnsi="宋体" w:eastAsia="宋体"/>
          <w:bCs w:val="0"/>
          <w:kern w:val="2"/>
          <w:sz w:val="36"/>
          <w:szCs w:val="36"/>
        </w:rPr>
        <w:t xml:space="preserve">第四章 </w:t>
      </w:r>
      <w:bookmarkEnd w:id="21"/>
      <w:bookmarkEnd w:id="22"/>
      <w:r>
        <w:rPr>
          <w:rFonts w:hint="eastAsia" w:ascii="宋体" w:hAnsi="宋体" w:eastAsia="宋体"/>
          <w:bCs w:val="0"/>
          <w:kern w:val="2"/>
          <w:sz w:val="36"/>
          <w:szCs w:val="36"/>
        </w:rPr>
        <w:t>比选内容及要求</w:t>
      </w:r>
      <w:bookmarkEnd w:id="23"/>
      <w:bookmarkStart w:id="25" w:name="_Toc31717"/>
    </w:p>
    <w:p>
      <w:pPr>
        <w:spacing w:line="360" w:lineRule="auto"/>
        <w:jc w:val="left"/>
        <w:outlineLvl w:val="1"/>
        <w:rPr>
          <w:rFonts w:ascii="宋体" w:hAnsi="宋体" w:eastAsia="宋体" w:cs="仿宋"/>
          <w:b/>
          <w:bCs/>
          <w:sz w:val="28"/>
          <w:szCs w:val="24"/>
          <w:lang w:val="zh-CN"/>
        </w:rPr>
      </w:pPr>
      <w:r>
        <w:rPr>
          <w:rFonts w:hint="eastAsia" w:ascii="宋体" w:hAnsi="宋体" w:eastAsia="宋体" w:cs="Times New Roman"/>
          <w:sz w:val="24"/>
          <w:szCs w:val="24"/>
          <w:lang w:val="zh-CN"/>
        </w:rPr>
        <w:t>一、</w:t>
      </w:r>
      <w:r>
        <w:rPr>
          <w:rFonts w:hint="eastAsia" w:ascii="宋体" w:hAnsi="宋体" w:eastAsia="宋体" w:cs="仿宋"/>
          <w:b/>
          <w:bCs/>
          <w:sz w:val="28"/>
          <w:szCs w:val="24"/>
          <w:lang w:val="zh-CN"/>
        </w:rPr>
        <w:t>项目概述</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为了落实公安部、网信办以及教育厅对高校应用系统安全等级保护要求，进一步增强系统安全防护能力，确保系统安全稳定运行，防止因系统安全事件引发安全事故依据《信息安全技术 网络安全等级保护基本要求》（GB/T 22239-2019）、《信息安全等级保护管理办法》（公通字[2007]43号）和《中华人民共和国网络安全法》等标准规范，四川铁道职业学校现拟招一家供应商提供等保测评服务。</w:t>
      </w:r>
    </w:p>
    <w:p>
      <w:pPr>
        <w:spacing w:line="500" w:lineRule="exact"/>
        <w:jc w:val="left"/>
        <w:rPr>
          <w:rFonts w:ascii="宋体" w:hAnsi="宋体" w:eastAsia="宋体" w:cs="仿宋"/>
          <w:b/>
          <w:bCs/>
          <w:sz w:val="28"/>
          <w:szCs w:val="24"/>
        </w:rPr>
      </w:pPr>
      <w:r>
        <w:rPr>
          <w:rFonts w:hint="eastAsia" w:ascii="宋体" w:hAnsi="宋体" w:eastAsia="宋体" w:cs="仿宋"/>
          <w:b/>
          <w:bCs/>
          <w:sz w:val="28"/>
          <w:szCs w:val="24"/>
        </w:rPr>
        <w:t>二、技术要求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1.测评要求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根据项目需求，为保障信息安全现场测评过程安全可控，明确测评人员职责分配、规范测评人员操作，保障测评结果有效，至少包括以下几个流程：</w:t>
      </w:r>
    </w:p>
    <w:tbl>
      <w:tblPr>
        <w:tblStyle w:val="24"/>
        <w:tblW w:w="88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39"/>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关键实施阶段</w:t>
            </w:r>
          </w:p>
        </w:tc>
        <w:tc>
          <w:tcPr>
            <w:tcW w:w="6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确定测评范围</w:t>
            </w:r>
          </w:p>
        </w:tc>
        <w:tc>
          <w:tcPr>
            <w:tcW w:w="6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明确本次被测评信息系统的范围，包括每个信息系统的范围、信息系统的边界等。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获得信息系统的信息</w:t>
            </w:r>
          </w:p>
        </w:tc>
        <w:tc>
          <w:tcPr>
            <w:tcW w:w="6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通过调查或查阅资料的方式，了解被测评信息系统的构成，包括网络拓扑、业务应用、业务流程、设备信息、安全措施状况等。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确定具体的测评对象</w:t>
            </w:r>
          </w:p>
        </w:tc>
        <w:tc>
          <w:tcPr>
            <w:tcW w:w="6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初步确定每个信息系统的被测评对象，包括整体对象，如机房、办公环境、网络等，也包括具体对象，如边界设备、网关设备、服务器设备、工作站、应用系统等。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确定测评工作的方法</w:t>
            </w:r>
          </w:p>
        </w:tc>
        <w:tc>
          <w:tcPr>
            <w:tcW w:w="6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根据信息系统安全等级情况、系统规模大小等，明确本次测评的方法。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制定测评工作计划</w:t>
            </w:r>
          </w:p>
        </w:tc>
        <w:tc>
          <w:tcPr>
            <w:tcW w:w="6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制定测评工作计划或方案，说明测评范围、测评对象、工作方法、人员组成、角色职责、时间计划等。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实施等级保护测评</w:t>
            </w:r>
          </w:p>
        </w:tc>
        <w:tc>
          <w:tcPr>
            <w:tcW w:w="6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实施测评，包括人工检查、工具扫描等方式。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blHeader/>
        </w:trPr>
        <w:tc>
          <w:tcPr>
            <w:tcW w:w="7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1739"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项目总结</w:t>
            </w:r>
          </w:p>
        </w:tc>
        <w:tc>
          <w:tcPr>
            <w:tcW w:w="6344"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对测评结果进行总结、汇报</w:t>
            </w:r>
          </w:p>
        </w:tc>
      </w:tr>
    </w:tbl>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2.测评内容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按照网络安全等级保护测评依据开展测评工作（包括不限于以下项目）：</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（1）安全物理环境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安全物理环境检查主要是了解信息系统的物理安全保障情况，涉及对象为机房。在内容上，安全物理环境层面测评实施过程涉及的工作单元，具体如下表：</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表1 安全物理环境测评内容</w:t>
      </w:r>
    </w:p>
    <w:tbl>
      <w:tblPr>
        <w:tblStyle w:val="24"/>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2231"/>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2231"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工作单元名称</w:t>
            </w:r>
          </w:p>
        </w:tc>
        <w:tc>
          <w:tcPr>
            <w:tcW w:w="4848" w:type="dxa"/>
            <w:shd w:val="clear" w:color="000000" w:fill="FFFFFF"/>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223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物理位置的选择</w:t>
            </w:r>
          </w:p>
        </w:tc>
        <w:tc>
          <w:tcPr>
            <w:tcW w:w="484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检查机房，测评机房物理场所在位置上是否具有防震、防风和防雨等多方面的安全防范能力。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223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物理访问控制</w:t>
            </w:r>
          </w:p>
        </w:tc>
        <w:tc>
          <w:tcPr>
            <w:tcW w:w="484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检查机房出入口等过程，测评信息系统在物理访问控制方面的安全防范能力。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223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防盗窃和防破坏</w:t>
            </w:r>
          </w:p>
        </w:tc>
        <w:tc>
          <w:tcPr>
            <w:tcW w:w="484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检查机房内的主要设备、介质和防盗报警设施等过程，测评信息系统是否采取必要的措施预防设备、介质等丢失和被破坏。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223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防雷击</w:t>
            </w:r>
          </w:p>
        </w:tc>
        <w:tc>
          <w:tcPr>
            <w:tcW w:w="484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检查机房设计/验收文档，测评信息系统是否采取相应的措施预防雷击。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223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防火</w:t>
            </w:r>
          </w:p>
        </w:tc>
        <w:tc>
          <w:tcPr>
            <w:tcW w:w="484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检查机房防火方面的安全管理制度，检查机房防火设备等过程，测评信息系统是否采取必要的措施防止火灾的发生。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2231" w:type="dxa"/>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防水和防潮</w:t>
            </w:r>
          </w:p>
        </w:tc>
        <w:tc>
          <w:tcPr>
            <w:tcW w:w="484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检查机房及其除潮设备等过程，测评信息系统是否采取必要措施来防止水灾和机房潮湿。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223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防静电</w:t>
            </w:r>
          </w:p>
        </w:tc>
        <w:tc>
          <w:tcPr>
            <w:tcW w:w="484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检查机房等过程，测评信息系统是否采取必要措施防止静电的产生。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2231" w:type="dxa"/>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温湿度控制</w:t>
            </w:r>
          </w:p>
        </w:tc>
        <w:tc>
          <w:tcPr>
            <w:tcW w:w="484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检查机房的温湿度自动调节系统，测评信息系统是否采取必要措施对机房内的温湿度进行控制。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9</w:t>
            </w:r>
          </w:p>
        </w:tc>
        <w:tc>
          <w:tcPr>
            <w:tcW w:w="223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电力供应</w:t>
            </w:r>
          </w:p>
        </w:tc>
        <w:tc>
          <w:tcPr>
            <w:tcW w:w="484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检查机房供电线路、设备等过程，测评是否具备为信息系统提供一定电力供应的能力。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9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10</w:t>
            </w:r>
          </w:p>
        </w:tc>
        <w:tc>
          <w:tcPr>
            <w:tcW w:w="223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电磁防护</w:t>
            </w:r>
          </w:p>
        </w:tc>
        <w:tc>
          <w:tcPr>
            <w:tcW w:w="484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检查主要设备等过程，测评信息系统是否具备一定的电磁防护能力。</w:t>
            </w:r>
          </w:p>
        </w:tc>
      </w:tr>
    </w:tbl>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（2）安全通信网络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安全通信网络检查主要是了解系统的网络架构和通信传输等，涉及对象为防火墙、核心路由器、核心交换机等设备和网络架构。在内容上，安全通信网络层面测评过程涉及的工作单元，具体如下表：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表2 安全通信网络测评内容</w:t>
      </w:r>
    </w:p>
    <w:tbl>
      <w:tblPr>
        <w:tblStyle w:val="24"/>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250"/>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51"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2250"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工作单元名称</w:t>
            </w:r>
          </w:p>
        </w:tc>
        <w:tc>
          <w:tcPr>
            <w:tcW w:w="4717" w:type="dxa"/>
            <w:shd w:val="clear" w:color="000000" w:fill="FFFFFF"/>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1" w:type="dxa"/>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1</w:t>
            </w:r>
          </w:p>
        </w:tc>
        <w:tc>
          <w:tcPr>
            <w:tcW w:w="2250"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网络架构</w:t>
            </w:r>
          </w:p>
        </w:tc>
        <w:tc>
          <w:tcPr>
            <w:tcW w:w="4717"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检查核心设备的CPU和内存使用率，整个网络带宽是否满足现状，VLAN划分是否合理，网络架构是否做到设备冗余、链路。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51" w:type="dxa"/>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2</w:t>
            </w:r>
          </w:p>
        </w:tc>
        <w:tc>
          <w:tcPr>
            <w:tcW w:w="2250"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通信传输</w:t>
            </w:r>
          </w:p>
        </w:tc>
        <w:tc>
          <w:tcPr>
            <w:tcW w:w="4717"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检查数据在传输过程中的的完整性和保密性措施。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51" w:type="dxa"/>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3</w:t>
            </w:r>
          </w:p>
        </w:tc>
        <w:tc>
          <w:tcPr>
            <w:tcW w:w="2250"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可信计算</w:t>
            </w:r>
          </w:p>
        </w:tc>
        <w:tc>
          <w:tcPr>
            <w:tcW w:w="4717"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检查设备是否进行可信验证。</w:t>
            </w:r>
          </w:p>
        </w:tc>
      </w:tr>
    </w:tbl>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（3）安全区域边界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安全区域边界检查主要是了解系统在网络边界的防护措施，涉及对象为防火墙、入侵检测、安全审计等安全设备。在内容上，安全区域边界层面测评实施过程涉及的工作单元，具体如下表：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表3 安全区域边界测评内容</w:t>
      </w:r>
    </w:p>
    <w:tbl>
      <w:tblPr>
        <w:tblStyle w:val="24"/>
        <w:tblW w:w="7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843"/>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7"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1843"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工作单元名称</w:t>
            </w:r>
          </w:p>
        </w:tc>
        <w:tc>
          <w:tcPr>
            <w:tcW w:w="4536" w:type="dxa"/>
            <w:shd w:val="clear" w:color="000000" w:fill="FFFFFF"/>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边界防护</w:t>
            </w:r>
          </w:p>
        </w:tc>
        <w:tc>
          <w:tcPr>
            <w:tcW w:w="4536"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检查网络边界是否有访问控制设备，访问控制策略是否合理，是否关闭了闲置端口等。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访问控制</w:t>
            </w:r>
          </w:p>
        </w:tc>
        <w:tc>
          <w:tcPr>
            <w:tcW w:w="4536"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检查网络中的访问控制策略是否合理、有效。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843" w:type="dxa"/>
            <w:vAlign w:val="center"/>
          </w:tcPr>
          <w:p>
            <w:pPr>
              <w:spacing w:line="360" w:lineRule="auto"/>
              <w:ind w:firstLine="240" w:firstLineChars="100"/>
              <w:rPr>
                <w:rFonts w:ascii="宋体" w:hAnsi="宋体" w:eastAsia="宋体" w:cs="Times New Roman"/>
                <w:sz w:val="24"/>
                <w:szCs w:val="24"/>
              </w:rPr>
            </w:pPr>
            <w:r>
              <w:rPr>
                <w:rFonts w:hint="eastAsia" w:ascii="宋体" w:hAnsi="宋体" w:eastAsia="宋体" w:cs="Times New Roman"/>
                <w:sz w:val="24"/>
                <w:szCs w:val="24"/>
              </w:rPr>
              <w:t>入侵防范</w:t>
            </w:r>
          </w:p>
        </w:tc>
        <w:tc>
          <w:tcPr>
            <w:tcW w:w="4536"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检查网络中是否采用了入侵防范措施，验证该措施是否有效。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恶意代码和垃圾邮件防范</w:t>
            </w:r>
          </w:p>
        </w:tc>
        <w:tc>
          <w:tcPr>
            <w:tcW w:w="4536"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检查网络中是否有恶意代码和垃圾邮件防范措施。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安全审计</w:t>
            </w:r>
          </w:p>
        </w:tc>
        <w:tc>
          <w:tcPr>
            <w:tcW w:w="4536"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检查网络中是否有综合安全审计措施。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可信验证</w:t>
            </w:r>
          </w:p>
        </w:tc>
        <w:tc>
          <w:tcPr>
            <w:tcW w:w="4536"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检查设备是否进行可信验证。</w:t>
            </w:r>
          </w:p>
        </w:tc>
      </w:tr>
    </w:tbl>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（4）安全计算环境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计算环境检查主要是了解系统的运行环境是否采取了相关安全措施，涉及对象为网络设备、安全设备、操作系统、数据库、中间件等。在内容上，安全计算环境层面测评实施过程涉及的工作单元，具体如下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表4应用系统安全测评内容</w:t>
      </w:r>
    </w:p>
    <w:tbl>
      <w:tblPr>
        <w:tblStyle w:val="24"/>
        <w:tblW w:w="7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843"/>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47"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1843"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工作单元名称</w:t>
            </w:r>
          </w:p>
        </w:tc>
        <w:tc>
          <w:tcPr>
            <w:tcW w:w="4471" w:type="dxa"/>
            <w:shd w:val="clear" w:color="000000" w:fill="FFFFFF"/>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身份鉴别</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检查所有设备的登录用户是否有身份鉴别措施，是否有复杂度、唯一性等检查。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访问控制</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检查用户的权限分配情况，默认用户和默认口令使用情况等。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安全审计</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检查是否开启安全审计功能，是否能审计到每个用户，审计记录是否有保护措施。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入侵防范</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检查设备在运行过程中的入侵防范措施，如关闭不需要的端口和服务、最小化安装、部署入侵防范产品等。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恶意代码防范</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检查设备的恶意代码防范情况。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可信验证</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检查设备是否进行可信验证。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数据完整性</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检查系统数据的传输完整性和存储完整性措施。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数据保密性</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检查系统数据的传输保密性和存储保密性措施。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9</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数据备份恢复</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检查系统的安全备份情况，如重要信息的备份、硬件和线路的冗余等。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10</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剩余信息保护</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检查系统的剩余信息保护情况，如将用户鉴别信息以及文件、目录和数据库记录等资源所在的存储空间再分配时的处理情况。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47"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个人信息保护</w:t>
            </w:r>
          </w:p>
        </w:tc>
        <w:tc>
          <w:tcPr>
            <w:tcW w:w="447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检查系统对个人信息的采集和使用情况。</w:t>
            </w:r>
          </w:p>
        </w:tc>
      </w:tr>
    </w:tbl>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（5）安全管理中心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安全管理中心检查主要是了解系统在管理、审计等集中管理的情况，涉及对象为综合管理类设备、综合审计类设备等。在内容上，安全管理中心实施过程涉及的工作单元，具体如下表：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表5安全管理中心测评内容</w:t>
      </w:r>
    </w:p>
    <w:tbl>
      <w:tblPr>
        <w:tblStyle w:val="24"/>
        <w:tblW w:w="7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843"/>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65"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1843"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工作单元名称</w:t>
            </w:r>
          </w:p>
        </w:tc>
        <w:tc>
          <w:tcPr>
            <w:tcW w:w="4459" w:type="dxa"/>
            <w:shd w:val="clear" w:color="000000" w:fill="FFFFFF"/>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系统管理</w:t>
            </w:r>
          </w:p>
        </w:tc>
        <w:tc>
          <w:tcPr>
            <w:tcW w:w="4459"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检查是否对系统管理员进行统一的身份鉴别，操作审计等。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6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审计管理</w:t>
            </w:r>
          </w:p>
        </w:tc>
        <w:tc>
          <w:tcPr>
            <w:tcW w:w="4459"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检查是否对审计管理员进行统一的身份鉴别，操作审计等。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安全管理</w:t>
            </w:r>
          </w:p>
        </w:tc>
        <w:tc>
          <w:tcPr>
            <w:tcW w:w="4459"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检查是否对安全管理员进行统一的身份鉴别，操作审计等。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65"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集中管控</w:t>
            </w:r>
          </w:p>
        </w:tc>
        <w:tc>
          <w:tcPr>
            <w:tcW w:w="4459"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检查是否划分独立的安全管理区域，是否对网络中运行的设备进行状态监测、日志审计、安全审计等，是否对补丁、恶意代代码进行统一管理。</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（6）安全管理制度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管理制度测评是为了了解评测安全管理制度的制定、发布、评审和修订等情况，主要涉及安全主管人员、安全管理人员、各类其它人员、各类管理制度、各类操作规程文件等对象。在内容上，安全管理制度测评实施过程涉及的工作单元，具体如下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表6安全管理制度测评内容</w:t>
      </w:r>
    </w:p>
    <w:tbl>
      <w:tblPr>
        <w:tblStyle w:val="24"/>
        <w:tblW w:w="7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843"/>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94"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1843"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工作单元名称</w:t>
            </w:r>
          </w:p>
        </w:tc>
        <w:tc>
          <w:tcPr>
            <w:tcW w:w="4489" w:type="dxa"/>
            <w:shd w:val="clear" w:color="000000" w:fill="FFFFFF"/>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4"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安全策略</w:t>
            </w:r>
          </w:p>
        </w:tc>
        <w:tc>
          <w:tcPr>
            <w:tcW w:w="4489"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核查网络安全工作的总体方针和安全策略文件是否明确机构安全工作的总体目 标、范围、原则和各类安全策略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94"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管理制度</w:t>
            </w:r>
          </w:p>
        </w:tc>
        <w:tc>
          <w:tcPr>
            <w:tcW w:w="4489"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检查有关管理制度文档和重要操作规程等过程，测评信息系统管理制度在内容覆盖上是否全面、完善。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94"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84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制定和发布</w:t>
            </w:r>
          </w:p>
        </w:tc>
        <w:tc>
          <w:tcPr>
            <w:tcW w:w="4489"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检查有关制度制定要求文档等过程，测评信息系统管理制度的制定和发布过程是否遵循一定的流程。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94"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84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评审和修订</w:t>
            </w:r>
          </w:p>
        </w:tc>
        <w:tc>
          <w:tcPr>
            <w:tcW w:w="4489"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检查管理制度评审记录等过程，测评信息系统管理制度定期评审和修订情况。</w:t>
            </w:r>
          </w:p>
        </w:tc>
      </w:tr>
    </w:tbl>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（7）安全管理机构</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管理机构测评是为了了解评测安全管理机构的组成情况和机构工作组织情况，主要涉及安全主管人员、安全管理人员、相关的文件资料和工作记录等对象。在内容上，安全管理机构测评实施过程涉及的工作单元，具体如下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表7安全管理机构测评内容</w:t>
      </w:r>
    </w:p>
    <w:tbl>
      <w:tblPr>
        <w:tblStyle w:val="24"/>
        <w:tblW w:w="7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843"/>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18"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1843"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工作单元名称</w:t>
            </w:r>
          </w:p>
        </w:tc>
        <w:tc>
          <w:tcPr>
            <w:tcW w:w="4513" w:type="dxa"/>
            <w:shd w:val="clear" w:color="000000" w:fill="FFFFFF"/>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岗位设置</w:t>
            </w:r>
          </w:p>
        </w:tc>
        <w:tc>
          <w:tcPr>
            <w:tcW w:w="451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检查部门/岗位职责文件，测评信息系统安全主管部门设置情况以及各岗位设置和岗位职责情况。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人员配备</w:t>
            </w:r>
          </w:p>
        </w:tc>
        <w:tc>
          <w:tcPr>
            <w:tcW w:w="451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检查人员名单等文档，测评信息系统各个岗位人员配备情况。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授权和审批</w:t>
            </w:r>
          </w:p>
        </w:tc>
        <w:tc>
          <w:tcPr>
            <w:tcW w:w="451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检查相关文档，测评信息系统对关键活动的授权和审批情况。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沟通和合作</w:t>
            </w:r>
          </w:p>
        </w:tc>
        <w:tc>
          <w:tcPr>
            <w:tcW w:w="451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检查相关文档，测评信息系统内部部门间、与外部单位间的沟通与合作情况。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审核和检查</w:t>
            </w:r>
          </w:p>
        </w:tc>
        <w:tc>
          <w:tcPr>
            <w:tcW w:w="451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检查记录文档等过程，测评信息系统安全工作的审核和检查情况。</w:t>
            </w:r>
          </w:p>
        </w:tc>
      </w:tr>
    </w:tbl>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（8）安全管理人员</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安全管理人员测评是为了了解单位人员安全方面的情况，主要涉及安全主管人员、人事管理人员、相关管理制度、相关工作记录等对象。在内容上，安全管理人员测评实施过程涉及的工作单元，具体如下表：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表8安全管理人员测评内容</w:t>
      </w:r>
    </w:p>
    <w:tbl>
      <w:tblPr>
        <w:tblStyle w:val="24"/>
        <w:tblW w:w="7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843"/>
        <w:gridCol w:w="4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18"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1843"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工作单元名称</w:t>
            </w:r>
          </w:p>
        </w:tc>
        <w:tc>
          <w:tcPr>
            <w:tcW w:w="4513" w:type="dxa"/>
            <w:shd w:val="clear" w:color="000000" w:fill="FFFFFF"/>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人员录用</w:t>
            </w:r>
          </w:p>
        </w:tc>
        <w:tc>
          <w:tcPr>
            <w:tcW w:w="451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检查人员录用文档等过程，测评信息系统录用人员时是否对人员提出要求以及是否对其进行各种审查和考核。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1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人员离岗</w:t>
            </w:r>
          </w:p>
        </w:tc>
        <w:tc>
          <w:tcPr>
            <w:tcW w:w="451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检查人员离岗安全处理记录等过程，测评信息系统人员离岗时是否按照一定的手续办理。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安全意识教育和培训</w:t>
            </w:r>
          </w:p>
        </w:tc>
        <w:tc>
          <w:tcPr>
            <w:tcW w:w="451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检查培训计划和执行记录等文档，测评是否对人员进行安全方面的教育和培训。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18"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外部人员访问管理</w:t>
            </w:r>
          </w:p>
        </w:tc>
        <w:tc>
          <w:tcPr>
            <w:tcW w:w="451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检查有关文档等过程，测评对第三方人员访问（物理、逻辑）系统是否采取必要控制措施。</w:t>
            </w:r>
          </w:p>
        </w:tc>
      </w:tr>
    </w:tbl>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（9）安全建设管理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建设管理测评是为了了解评测系统建设管理过程中的安全控制情况，主要涉及安全主管人员、系统建设负责人、各类管理制度、操作规程文件、执行过程记录等对象。在内容上，安全建设管理测评实施过程涉及的工作单元，具体如下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表9安全建设管理测评内容</w:t>
      </w:r>
    </w:p>
    <w:tbl>
      <w:tblPr>
        <w:tblStyle w:val="24"/>
        <w:tblW w:w="7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4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1"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1843"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工作单元名称</w:t>
            </w:r>
          </w:p>
        </w:tc>
        <w:tc>
          <w:tcPr>
            <w:tcW w:w="4534" w:type="dxa"/>
            <w:shd w:val="clear" w:color="000000" w:fill="FFFFFF"/>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定级和备案</w:t>
            </w:r>
          </w:p>
        </w:tc>
        <w:tc>
          <w:tcPr>
            <w:tcW w:w="4534"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检查系统定级相关文档等过程，测评是否按照一定要求确定系统的安全等级。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安全方案设计</w:t>
            </w:r>
          </w:p>
        </w:tc>
        <w:tc>
          <w:tcPr>
            <w:tcW w:w="4534"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检查系统安全建设方案等文档，测评系统整体的安全规划设计是否按照一定流程进行。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产品采购和使用</w:t>
            </w:r>
          </w:p>
        </w:tc>
        <w:tc>
          <w:tcPr>
            <w:tcW w:w="4534"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测评是否按照一定的要求进行系统的产品采购。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自行软件开发</w:t>
            </w:r>
          </w:p>
        </w:tc>
        <w:tc>
          <w:tcPr>
            <w:tcW w:w="4534"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检查相关软件开发文档等，测评自行开发的软件是否采取必要的措施保证开发过程的安全性。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外包软件开发</w:t>
            </w:r>
          </w:p>
        </w:tc>
        <w:tc>
          <w:tcPr>
            <w:tcW w:w="4534"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检查相关文档，测评外包开发的软件是否采取必要的措施保证开发过程的安全性和日后的维护工作能够正常开展。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1843"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工程实施</w:t>
            </w:r>
          </w:p>
        </w:tc>
        <w:tc>
          <w:tcPr>
            <w:tcW w:w="4534"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检查相关文档，测评系统建设的实施过程是否采取必要的措施使其在机构可控的范围内进行。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测试验收</w:t>
            </w:r>
          </w:p>
        </w:tc>
        <w:tc>
          <w:tcPr>
            <w:tcW w:w="4534"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检查测试验收等相关文档，测评系统运行前是否对其进行测试验收工作。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系统交付</w:t>
            </w:r>
          </w:p>
        </w:tc>
        <w:tc>
          <w:tcPr>
            <w:tcW w:w="4534"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检查系统交付清单等过程，测评是否采取必要的措施对系统交付过程进行有效控制。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9</w:t>
            </w:r>
          </w:p>
        </w:tc>
        <w:tc>
          <w:tcPr>
            <w:tcW w:w="1843"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等级测评</w:t>
            </w:r>
          </w:p>
        </w:tc>
        <w:tc>
          <w:tcPr>
            <w:tcW w:w="4534"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检查系统之前等级测评的情况，以及之前测评机构的资质等。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1"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10</w:t>
            </w:r>
          </w:p>
        </w:tc>
        <w:tc>
          <w:tcPr>
            <w:tcW w:w="1843"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服务供应商选择</w:t>
            </w:r>
          </w:p>
        </w:tc>
        <w:tc>
          <w:tcPr>
            <w:tcW w:w="4534"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测评是否选择符合国家有关规定的安全服务单位进行相关的安全服务工作。</w:t>
            </w:r>
          </w:p>
        </w:tc>
      </w:tr>
    </w:tbl>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（10）安全运维管理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安全运维管理测评是为了了解系统运维管理过程中的安全控制情况，主要涉及安全主管人员、安全管理人员、各类运维人员、各类管理制度、操作规程文件、执行过程记录等对象。在内容上，安全运维管理测评实施过程涉及的工作单元，具体如下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表10安全运维管理测评内容</w:t>
      </w:r>
    </w:p>
    <w:tbl>
      <w:tblPr>
        <w:tblStyle w:val="24"/>
        <w:tblW w:w="7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21"/>
        <w:gridCol w:w="5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00"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序号</w:t>
            </w:r>
          </w:p>
        </w:tc>
        <w:tc>
          <w:tcPr>
            <w:tcW w:w="1821" w:type="dxa"/>
            <w:shd w:val="clear" w:color="000000" w:fill="FFFFFF"/>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工作单元名称</w:t>
            </w:r>
          </w:p>
        </w:tc>
        <w:tc>
          <w:tcPr>
            <w:tcW w:w="5088" w:type="dxa"/>
            <w:shd w:val="clear" w:color="000000" w:fill="FFFFFF"/>
            <w:vAlign w:val="center"/>
          </w:tcPr>
          <w:p>
            <w:pPr>
              <w:spacing w:line="360" w:lineRule="auto"/>
              <w:ind w:firstLine="480" w:firstLineChars="200"/>
              <w:jc w:val="center"/>
              <w:rPr>
                <w:rFonts w:ascii="宋体" w:hAnsi="宋体" w:eastAsia="宋体" w:cs="Times New Roman"/>
                <w:sz w:val="24"/>
                <w:szCs w:val="24"/>
              </w:rPr>
            </w:pPr>
            <w:r>
              <w:rPr>
                <w:rFonts w:hint="eastAsia" w:ascii="宋体" w:hAnsi="宋体" w:eastAsia="宋体" w:cs="Times New Roman"/>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w:t>
            </w:r>
          </w:p>
        </w:tc>
        <w:tc>
          <w:tcPr>
            <w:tcW w:w="182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环境管理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检查机房安全管理制度，机房和办公环境等过程，测评是否采取必要的措施对机房的出入控制以及办公环境的人员行为等方面进行安全管理。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2</w:t>
            </w:r>
          </w:p>
        </w:tc>
        <w:tc>
          <w:tcPr>
            <w:tcW w:w="182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资产管理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检查资产清单，检查系统、网络设备等过程，测评是否采取必要的措施对系统的资产进行分类标识管理。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3</w:t>
            </w:r>
          </w:p>
        </w:tc>
        <w:tc>
          <w:tcPr>
            <w:tcW w:w="182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介质管理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检查介质管理记录和各类介质等过程，测评是否采取必要的措施对介质存放环境、使用、维护和销毁等方面进行管理。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4</w:t>
            </w:r>
          </w:p>
        </w:tc>
        <w:tc>
          <w:tcPr>
            <w:tcW w:w="182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设备维护管理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检查设备使用管理文档和设备操作规程等过程，测评是否采取必要的措施确保设备在使用、维护和销毁等过程安全。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5</w:t>
            </w:r>
          </w:p>
        </w:tc>
        <w:tc>
          <w:tcPr>
            <w:tcW w:w="182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漏洞和风险管理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检查系统对于漏洞和安全隐患风险的管理，是否有报告、记录等文档，是否定期开展安全测评等。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6</w:t>
            </w:r>
          </w:p>
        </w:tc>
        <w:tc>
          <w:tcPr>
            <w:tcW w:w="182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网络和系统安全管理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和网络的安全管理文档，是否明确了角色划分、权限划分，是否覆盖安全策略、账户管理、配置文件的生成及备份、变更审批等内容；检查运维操作日志是否覆盖网络和系统的日常巡检、运行维护、参数的设置和修 改等内容；核查是否具有对日志、监测和报警数据等进行分析统计的报告；核查开通远程运维的审批记录，核查针对远程运维的审计日志是否不可以更改等。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7</w:t>
            </w:r>
          </w:p>
        </w:tc>
        <w:tc>
          <w:tcPr>
            <w:tcW w:w="182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恶意代码防范管理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检查恶意代码防范管理文档和恶意代码检测记录等过程，测评是否采取必要的措施对恶意代码进行有效管理，确保系统具有恶意代码防范能力。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8</w:t>
            </w:r>
          </w:p>
        </w:tc>
        <w:tc>
          <w:tcPr>
            <w:tcW w:w="182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配置管理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检查是否对基本配置信息进行记录和保存，基本配置信息改变后是否及时更新基本配置信息库等。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9</w:t>
            </w:r>
          </w:p>
        </w:tc>
        <w:tc>
          <w:tcPr>
            <w:tcW w:w="182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密码管理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测评是否能够确保信息系统中密码算法和密钥的使用符合国家密码管理规定。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10</w:t>
            </w:r>
          </w:p>
        </w:tc>
        <w:tc>
          <w:tcPr>
            <w:tcW w:w="182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变更管理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检查变更方案和变更管理制度等过程，测评是否采取必要的措施对系统发生的变更进行有效管理。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11</w:t>
            </w:r>
          </w:p>
        </w:tc>
        <w:tc>
          <w:tcPr>
            <w:tcW w:w="182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备份与恢复管理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检查系统备份管理文档和记录等过程，测评是否采取必要的措施对重要业务信息，系统数据和系统软件进行备份，并确保必要时能够对这些数据有效地恢复。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12</w:t>
            </w:r>
          </w:p>
        </w:tc>
        <w:tc>
          <w:tcPr>
            <w:tcW w:w="1821"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资产管理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检查是否有资产清单，清单是否包括资产类别、资产责任部门、 重要程度和所处位置等内容；是否依据资产的重要程度对资产进行标识，不同类别的资产在管理措施 的选取上是否不同；核查资产管理制度是否明确资产的标识方法以及不同资产的管理措施要求。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13</w:t>
            </w:r>
          </w:p>
        </w:tc>
        <w:tc>
          <w:tcPr>
            <w:tcW w:w="182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应急预案管理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检查应急响应预案文档等过程，测评是否针对不同安全事件制定相应的应急预案，是否对应急预案展开培训、演练和审查等。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 w:type="dxa"/>
            <w:vAlign w:val="center"/>
          </w:tcPr>
          <w:p>
            <w:pPr>
              <w:spacing w:line="360" w:lineRule="auto"/>
              <w:jc w:val="center"/>
              <w:rPr>
                <w:rFonts w:ascii="宋体" w:hAnsi="宋体" w:eastAsia="宋体" w:cs="Times New Roman"/>
                <w:sz w:val="24"/>
                <w:szCs w:val="24"/>
              </w:rPr>
            </w:pPr>
            <w:r>
              <w:rPr>
                <w:rFonts w:hint="eastAsia" w:ascii="宋体" w:hAnsi="宋体" w:eastAsia="宋体" w:cs="Times New Roman"/>
                <w:sz w:val="24"/>
                <w:szCs w:val="24"/>
              </w:rPr>
              <w:t>14</w:t>
            </w:r>
          </w:p>
        </w:tc>
        <w:tc>
          <w:tcPr>
            <w:tcW w:w="1821" w:type="dxa"/>
            <w:vAlign w:val="center"/>
          </w:tcPr>
          <w:p>
            <w:pPr>
              <w:spacing w:line="360" w:lineRule="auto"/>
              <w:rPr>
                <w:rFonts w:ascii="宋体" w:hAnsi="宋体" w:eastAsia="宋体" w:cs="Times New Roman"/>
                <w:sz w:val="24"/>
                <w:szCs w:val="24"/>
              </w:rPr>
            </w:pPr>
            <w:r>
              <w:rPr>
                <w:rFonts w:hint="eastAsia" w:ascii="宋体" w:hAnsi="宋体" w:eastAsia="宋体" w:cs="Times New Roman"/>
                <w:sz w:val="24"/>
                <w:szCs w:val="24"/>
              </w:rPr>
              <w:t>外包运维管理</w:t>
            </w:r>
          </w:p>
        </w:tc>
        <w:tc>
          <w:tcPr>
            <w:tcW w:w="5088" w:type="dxa"/>
            <w:vAlign w:val="center"/>
          </w:tcPr>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检查外包运维服务情况，单位是否符合国家有关规定，协议是否明确约定外包运维的范围和工作内容等。</w:t>
            </w:r>
          </w:p>
        </w:tc>
      </w:tr>
    </w:tbl>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3.交付产物</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包括但不仅限于以下资料：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★（1）信息系统安全等级测评报告（包含整改建议）</w:t>
      </w:r>
    </w:p>
    <w:p>
      <w:pPr>
        <w:spacing w:line="360" w:lineRule="auto"/>
        <w:ind w:firstLine="720" w:firstLineChars="300"/>
        <w:rPr>
          <w:rFonts w:ascii="宋体" w:hAnsi="宋体" w:eastAsia="宋体" w:cs="Times New Roman"/>
          <w:sz w:val="24"/>
          <w:szCs w:val="24"/>
        </w:rPr>
      </w:pPr>
      <w:r>
        <w:rPr>
          <w:rFonts w:hint="eastAsia" w:ascii="宋体" w:hAnsi="宋体" w:eastAsia="宋体" w:cs="Times New Roman"/>
          <w:sz w:val="24"/>
          <w:szCs w:val="24"/>
        </w:rPr>
        <w:t>（2）公安机关要求的、其他未列入的相关资料</w:t>
      </w:r>
    </w:p>
    <w:p>
      <w:pPr>
        <w:spacing w:line="360" w:lineRule="auto"/>
        <w:ind w:firstLine="480" w:firstLineChars="200"/>
        <w:rPr>
          <w:rFonts w:ascii="宋体" w:hAnsi="宋体" w:eastAsia="宋体" w:cs="Times New Roman"/>
          <w:sz w:val="24"/>
          <w:szCs w:val="24"/>
        </w:rPr>
      </w:pPr>
    </w:p>
    <w:p>
      <w:pPr>
        <w:numPr>
          <w:ilvl w:val="0"/>
          <w:numId w:val="2"/>
        </w:numPr>
        <w:spacing w:line="500" w:lineRule="exact"/>
        <w:ind w:firstLine="562" w:firstLineChars="200"/>
        <w:jc w:val="left"/>
        <w:rPr>
          <w:rFonts w:ascii="宋体" w:hAnsi="宋体" w:eastAsia="宋体" w:cs="仿宋"/>
          <w:b/>
          <w:bCs/>
          <w:sz w:val="28"/>
          <w:szCs w:val="24"/>
        </w:rPr>
      </w:pPr>
      <w:r>
        <w:rPr>
          <w:rFonts w:hint="eastAsia" w:ascii="宋体" w:hAnsi="宋体" w:eastAsia="宋体" w:cs="仿宋"/>
          <w:b/>
          <w:bCs/>
          <w:sz w:val="28"/>
          <w:szCs w:val="24"/>
        </w:rPr>
        <w:t>服务要求（实质性要求）</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（1）服务时间:合同签订之日起至取得中标供应商出具的官网和数据中心《网络系统安全等级保护测评报告》且提供《网络安全等级保护测评项目登记管理系统》中显示全面完成测评工作的截图佐证资料。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（2）服务地点: 四川铁道职业学院。</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（3）自合同签订之日起，提供一年7*24小时等级保护和网络安全咨询服务。</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Times New Roman"/>
          <w:sz w:val="24"/>
          <w:szCs w:val="24"/>
        </w:rPr>
        <w:t>（4）</w:t>
      </w:r>
      <w:r>
        <w:rPr>
          <w:rFonts w:hint="eastAsia" w:ascii="宋体" w:hAnsi="宋体" w:eastAsia="宋体" w:cs="宋体"/>
          <w:sz w:val="24"/>
          <w:szCs w:val="24"/>
        </w:rPr>
        <w:t>付款方式：</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Times New Roman"/>
          <w:sz w:val="24"/>
          <w:szCs w:val="24"/>
        </w:rPr>
        <w:t>①</w:t>
      </w:r>
      <w:r>
        <w:rPr>
          <w:rFonts w:hint="eastAsia" w:ascii="宋体" w:hAnsi="宋体" w:eastAsia="宋体" w:cs="宋体"/>
          <w:sz w:val="24"/>
          <w:szCs w:val="24"/>
        </w:rPr>
        <w:t>采取两次付款执行。甲方收到乙方开具的合法合规的有效增值税发票等票据凭证资料后10个工作日内，支付70%作为项目实施预付款。项目实施完毕经</w:t>
      </w:r>
      <w:r>
        <w:rPr>
          <w:rFonts w:hint="eastAsia" w:ascii="宋体" w:hAnsi="宋体" w:eastAsia="宋体" w:cs="宋体"/>
          <w:sz w:val="24"/>
          <w:szCs w:val="24"/>
          <w:lang w:eastAsia="zh-Hans"/>
        </w:rPr>
        <w:t>甲乙</w:t>
      </w:r>
      <w:r>
        <w:rPr>
          <w:rFonts w:hint="eastAsia" w:ascii="宋体" w:hAnsi="宋体" w:eastAsia="宋体" w:cs="宋体"/>
          <w:sz w:val="24"/>
          <w:szCs w:val="24"/>
        </w:rPr>
        <w:t>双方最终验收合格，且收到乙方开具的</w:t>
      </w:r>
      <w:r>
        <w:rPr>
          <w:rFonts w:hint="eastAsia" w:ascii="宋体" w:hAnsi="宋体" w:eastAsia="宋体" w:cs="宋体"/>
          <w:sz w:val="24"/>
          <w:szCs w:val="24"/>
          <w:lang w:eastAsia="zh-Hans"/>
        </w:rPr>
        <w:t>合法有效完整</w:t>
      </w:r>
      <w:r>
        <w:rPr>
          <w:rFonts w:hint="eastAsia" w:ascii="宋体" w:hAnsi="宋体" w:eastAsia="宋体" w:cs="宋体"/>
          <w:sz w:val="24"/>
          <w:szCs w:val="24"/>
        </w:rPr>
        <w:t>合格的项目尾款增值税发票后10个工作日内，支付余款30%。</w:t>
      </w:r>
    </w:p>
    <w:p>
      <w:pPr>
        <w:widowControl/>
        <w:kinsoku w:val="0"/>
        <w:autoSpaceDE w:val="0"/>
        <w:autoSpaceDN w:val="0"/>
        <w:adjustRightInd w:val="0"/>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Times New Roman"/>
          <w:sz w:val="24"/>
          <w:szCs w:val="24"/>
        </w:rPr>
        <w:t>②</w:t>
      </w:r>
      <w:r>
        <w:rPr>
          <w:rFonts w:hint="eastAsia" w:ascii="宋体" w:hAnsi="宋体" w:eastAsia="宋体" w:cs="宋体"/>
          <w:sz w:val="24"/>
          <w:szCs w:val="24"/>
        </w:rPr>
        <w:t>乙方须向甲方出具合法有效完整的完税增值税发票及凭证资料进行支付结算。若乙方未提供前述发票或凭证资料，或提供的发票不合法合规，凭证资料不完整等，甲方有权不予支付合同价款，并不视为甲方违约。</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w:t>
      </w:r>
      <w:r>
        <w:rPr>
          <w:rFonts w:ascii="宋体" w:hAnsi="宋体" w:eastAsia="宋体" w:cs="Times New Roman"/>
          <w:sz w:val="24"/>
          <w:szCs w:val="24"/>
        </w:rPr>
        <w:t>5</w:t>
      </w:r>
      <w:r>
        <w:rPr>
          <w:rFonts w:hint="eastAsia" w:ascii="宋体" w:hAnsi="宋体" w:eastAsia="宋体" w:cs="Times New Roman"/>
          <w:sz w:val="24"/>
          <w:szCs w:val="24"/>
        </w:rPr>
        <w:t>）验收内容：</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完整有效的测评目标的等级测评报告、信息系统安全整改建议报告，公安机关通过相关的等级保护备案审查。</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验收标准：</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①等级测评报告通过公安机关审核。若不能达到审核标准，须指导学校进行安全整改，并重新完成测评，直至通过审核。</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②信息系统安全整改建议报告在符合学校实际情况的条件下，详细完整，可实际操作。</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③《网络安全等级保护测评项目登记管理系统》中显示全面完成测评工作的截图佐证资料。</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④存在国家强制规定或行业标准的遵照相关规定执行。</w:t>
      </w:r>
    </w:p>
    <w:p>
      <w:pPr>
        <w:spacing w:line="360" w:lineRule="auto"/>
        <w:ind w:firstLine="480" w:firstLineChars="200"/>
        <w:rPr>
          <w:rFonts w:ascii="宋体" w:hAnsi="宋体" w:eastAsia="宋体" w:cs="Times New Roman"/>
          <w:sz w:val="24"/>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br w:type="page"/>
      </w:r>
    </w:p>
    <w:p>
      <w:pPr>
        <w:pStyle w:val="2"/>
        <w:spacing w:before="0" w:after="0" w:line="400" w:lineRule="exact"/>
        <w:ind w:firstLine="2530" w:firstLineChars="700"/>
        <w:rPr>
          <w:rFonts w:ascii="宋体" w:hAnsi="宋体" w:eastAsia="宋体"/>
          <w:sz w:val="36"/>
          <w:szCs w:val="36"/>
        </w:rPr>
      </w:pPr>
      <w:r>
        <w:rPr>
          <w:rFonts w:hint="eastAsia" w:ascii="宋体" w:hAnsi="宋体" w:eastAsia="宋体"/>
          <w:sz w:val="36"/>
          <w:szCs w:val="36"/>
        </w:rPr>
        <w:t>第五章 比选评审办法</w:t>
      </w:r>
      <w:bookmarkEnd w:id="25"/>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一、总则</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1.比选人将根据比选项目特点组建评审委员会，采取综合评分法。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2.比选评审工作应遵循公平、公正、科学及择优的原则，并以相同的比选评审程序和标准对待所有的申请人。</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3.评审委员会按照比选文件规定的评审方法和标准进行评审，并独立履行下列职责：</w:t>
      </w:r>
    </w:p>
    <w:p>
      <w:pPr>
        <w:spacing w:line="360" w:lineRule="auto"/>
        <w:ind w:firstLine="470" w:firstLineChars="196"/>
        <w:rPr>
          <w:rFonts w:ascii="宋体" w:hAnsi="宋体" w:eastAsia="宋体"/>
          <w:sz w:val="24"/>
          <w:szCs w:val="24"/>
        </w:rPr>
      </w:pPr>
      <w:r>
        <w:rPr>
          <w:rFonts w:hint="eastAsia" w:ascii="宋体" w:hAnsi="宋体" w:eastAsia="宋体"/>
          <w:sz w:val="24"/>
          <w:szCs w:val="24"/>
        </w:rPr>
        <w:t>（1）审查比选申请文件是否符合比选文件要求，并作出评价；</w:t>
      </w:r>
    </w:p>
    <w:p>
      <w:pPr>
        <w:spacing w:line="360" w:lineRule="auto"/>
        <w:ind w:firstLine="470" w:firstLineChars="196"/>
        <w:rPr>
          <w:rFonts w:ascii="宋体" w:hAnsi="宋体" w:eastAsia="宋体"/>
          <w:sz w:val="24"/>
          <w:szCs w:val="24"/>
        </w:rPr>
      </w:pPr>
      <w:r>
        <w:rPr>
          <w:rFonts w:hint="eastAsia" w:ascii="宋体" w:hAnsi="宋体" w:eastAsia="宋体"/>
          <w:sz w:val="24"/>
          <w:szCs w:val="24"/>
        </w:rPr>
        <w:t>（2）要求参加申请人对比选申请文件有关事项作出解释或者澄清；</w:t>
      </w:r>
    </w:p>
    <w:p>
      <w:pPr>
        <w:spacing w:line="360" w:lineRule="auto"/>
        <w:ind w:firstLine="470" w:firstLineChars="196"/>
        <w:rPr>
          <w:rFonts w:ascii="宋体" w:hAnsi="宋体" w:eastAsia="宋体"/>
          <w:sz w:val="24"/>
          <w:szCs w:val="24"/>
        </w:rPr>
      </w:pPr>
      <w:r>
        <w:rPr>
          <w:rFonts w:hint="eastAsia" w:ascii="宋体" w:hAnsi="宋体" w:eastAsia="宋体"/>
          <w:sz w:val="24"/>
          <w:szCs w:val="24"/>
        </w:rPr>
        <w:t>（3）推荐中选候选人名单</w:t>
      </w:r>
      <w:bookmarkStart w:id="26" w:name="_Toc217446098"/>
      <w:r>
        <w:rPr>
          <w:rFonts w:hint="eastAsia" w:ascii="宋体" w:hAnsi="宋体" w:eastAsia="宋体"/>
          <w:sz w:val="24"/>
          <w:szCs w:val="24"/>
        </w:rPr>
        <w:t>。</w:t>
      </w:r>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二、比选评审</w:t>
      </w:r>
      <w:bookmarkEnd w:id="26"/>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1.资格性检查。</w:t>
      </w:r>
      <w:r>
        <w:rPr>
          <w:rFonts w:hint="eastAsia" w:ascii="宋体" w:hAnsi="宋体" w:eastAsia="宋体"/>
          <w:sz w:val="24"/>
          <w:szCs w:val="24"/>
        </w:rPr>
        <w:t>根据比选文件的规定，对比选申请文件中的资格证明等进行审查，以确定申请人是否具备比选资格。</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2.符合性检查。</w:t>
      </w:r>
      <w:r>
        <w:rPr>
          <w:rFonts w:hint="eastAsia" w:ascii="宋体" w:hAnsi="宋体" w:eastAsia="宋体"/>
          <w:sz w:val="24"/>
          <w:szCs w:val="24"/>
        </w:rPr>
        <w:t>根据比选文件的规定，从比选申请文件的所有实质性要求进行审查，以确定是否对比选文件的实质性要求作出响应。</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3.澄清有关问题</w:t>
      </w:r>
      <w:r>
        <w:rPr>
          <w:rFonts w:hint="eastAsia" w:ascii="宋体" w:hAnsi="宋体" w:eastAsia="宋体"/>
          <w:sz w:val="24"/>
          <w:szCs w:val="24"/>
        </w:rPr>
        <w:t>。比选评审委员会可要求申请人对其比选申请文件中非实质性的有关问题进行澄清、说明或者补正。有关澄清、说明或者补正的要求和答复应以书面形式提交。申请人的澄清、说明或者补正不得超出比选申请文件的范围或者改变比选申请文件的实质性内容。</w:t>
      </w:r>
    </w:p>
    <w:p>
      <w:pPr>
        <w:spacing w:line="360" w:lineRule="auto"/>
        <w:ind w:firstLine="472" w:firstLineChars="196"/>
        <w:rPr>
          <w:rFonts w:ascii="宋体" w:hAnsi="宋体" w:eastAsia="宋体"/>
        </w:rPr>
      </w:pPr>
      <w:r>
        <w:rPr>
          <w:rFonts w:hint="eastAsia" w:ascii="宋体" w:hAnsi="宋体" w:eastAsia="宋体"/>
          <w:b/>
          <w:bCs/>
          <w:sz w:val="24"/>
          <w:szCs w:val="24"/>
        </w:rPr>
        <w:t>4.比较与评价</w:t>
      </w:r>
      <w:r>
        <w:rPr>
          <w:rFonts w:hint="eastAsia" w:ascii="宋体" w:hAnsi="宋体" w:eastAsia="宋体"/>
          <w:sz w:val="24"/>
          <w:szCs w:val="24"/>
        </w:rPr>
        <w:t>。按比选文件中规定的比选评审方法和标准，对资格性检查和符合性检查合格的比选申请文件按照以下综合评分表进行综合比较与评价。</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5.推荐中选候选人名单。</w:t>
      </w:r>
      <w:r>
        <w:rPr>
          <w:rFonts w:hint="eastAsia" w:ascii="宋体" w:hAnsi="宋体" w:eastAsia="宋体"/>
          <w:sz w:val="24"/>
          <w:szCs w:val="24"/>
        </w:rPr>
        <w:t>中选候选人数量应当根据采购需要确定，但必须按顺序排列中选候选人。</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6.编写比选评审报告。</w:t>
      </w:r>
      <w:r>
        <w:rPr>
          <w:rFonts w:hint="eastAsia" w:ascii="宋体" w:hAnsi="宋体" w:eastAsia="宋体"/>
          <w:sz w:val="24"/>
          <w:szCs w:val="24"/>
        </w:rPr>
        <w:t>比选评审报告是比选评审委员会根据全体比选评审成员签字的原始比选评审记录和比选评审结果编写的报告。</w:t>
      </w:r>
    </w:p>
    <w:p>
      <w:pPr>
        <w:spacing w:line="360" w:lineRule="auto"/>
        <w:ind w:firstLine="472" w:firstLineChars="196"/>
        <w:rPr>
          <w:rFonts w:ascii="宋体" w:hAnsi="宋体" w:eastAsia="宋体"/>
          <w:sz w:val="24"/>
          <w:szCs w:val="24"/>
        </w:rPr>
      </w:pPr>
      <w:r>
        <w:rPr>
          <w:rFonts w:hint="eastAsia" w:ascii="宋体" w:hAnsi="宋体" w:eastAsia="宋体"/>
          <w:b/>
          <w:bCs/>
          <w:sz w:val="24"/>
          <w:szCs w:val="24"/>
        </w:rPr>
        <w:t>7.中选。</w:t>
      </w:r>
      <w:r>
        <w:rPr>
          <w:rFonts w:hint="eastAsia" w:ascii="宋体" w:hAnsi="宋体" w:eastAsia="宋体"/>
          <w:sz w:val="24"/>
          <w:szCs w:val="24"/>
        </w:rPr>
        <w:t>比选人根据中选候选人名单，原则上选择综合得分最高的申请人为中选人，若遇到特殊情况比选人可自主根据中选候选人名单确定中选人。</w:t>
      </w:r>
    </w:p>
    <w:p>
      <w:pPr>
        <w:spacing w:line="360" w:lineRule="auto"/>
        <w:ind w:firstLine="705" w:firstLineChars="196"/>
        <w:rPr>
          <w:rFonts w:ascii="宋体" w:hAnsi="宋体" w:eastAsia="宋体"/>
          <w:bCs/>
          <w:sz w:val="36"/>
          <w:szCs w:val="36"/>
        </w:rPr>
      </w:pPr>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三、比选评审办法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本次比选采用综合评分法。 </w:t>
      </w:r>
    </w:p>
    <w:p>
      <w:pPr>
        <w:spacing w:line="360" w:lineRule="auto"/>
        <w:jc w:val="center"/>
        <w:outlineLvl w:val="1"/>
        <w:rPr>
          <w:rFonts w:ascii="宋体" w:hAnsi="宋体" w:eastAsia="宋体" w:cs="Times New Roman"/>
          <w:b/>
          <w:sz w:val="28"/>
          <w:szCs w:val="28"/>
        </w:rPr>
      </w:pPr>
      <w:r>
        <w:rPr>
          <w:rFonts w:hint="eastAsia" w:ascii="宋体" w:hAnsi="宋体" w:eastAsia="宋体" w:cs="Times New Roman"/>
          <w:b/>
          <w:sz w:val="28"/>
          <w:szCs w:val="28"/>
        </w:rPr>
        <w:t>四、评分办法说明</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对各申请文件进行详细评审打分，满分为 100 分。各申请人所有评价指标得分之和为该申请人的综合得分。</w:t>
      </w:r>
    </w:p>
    <w:p>
      <w:pPr>
        <w:spacing w:line="360" w:lineRule="auto"/>
        <w:ind w:firstLine="470" w:firstLineChars="196"/>
        <w:rPr>
          <w:rFonts w:ascii="宋体" w:hAnsi="宋体" w:eastAsia="宋体"/>
          <w:sz w:val="24"/>
          <w:szCs w:val="24"/>
        </w:rPr>
      </w:pPr>
      <w:r>
        <w:rPr>
          <w:rFonts w:hint="eastAsia" w:ascii="宋体" w:hAnsi="宋体" w:eastAsia="宋体"/>
          <w:sz w:val="24"/>
          <w:szCs w:val="24"/>
        </w:rPr>
        <w:t>详细评分标准如下表：</w:t>
      </w:r>
    </w:p>
    <w:tbl>
      <w:tblPr>
        <w:tblStyle w:val="2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496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1080" w:type="dxa"/>
            <w:vAlign w:val="center"/>
          </w:tcPr>
          <w:p>
            <w:pPr>
              <w:spacing w:line="360" w:lineRule="auto"/>
              <w:rPr>
                <w:rFonts w:ascii="宋体" w:hAnsi="宋体" w:eastAsia="宋体"/>
                <w:sz w:val="24"/>
                <w:szCs w:val="24"/>
              </w:rPr>
            </w:pPr>
            <w:r>
              <w:rPr>
                <w:rFonts w:hint="eastAsia" w:ascii="宋体" w:hAnsi="宋体" w:eastAsia="宋体"/>
                <w:sz w:val="24"/>
                <w:szCs w:val="24"/>
              </w:rPr>
              <w:t>评分因素及权重</w:t>
            </w:r>
          </w:p>
        </w:tc>
        <w:tc>
          <w:tcPr>
            <w:tcW w:w="108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分值</w:t>
            </w:r>
          </w:p>
        </w:tc>
        <w:tc>
          <w:tcPr>
            <w:tcW w:w="4964" w:type="dxa"/>
            <w:vAlign w:val="center"/>
          </w:tcPr>
          <w:p>
            <w:pPr>
              <w:spacing w:line="360" w:lineRule="auto"/>
              <w:ind w:firstLine="470" w:firstLineChars="196"/>
              <w:jc w:val="center"/>
              <w:rPr>
                <w:rFonts w:ascii="宋体" w:hAnsi="宋体" w:eastAsia="宋体"/>
                <w:sz w:val="24"/>
                <w:szCs w:val="24"/>
              </w:rPr>
            </w:pPr>
            <w:r>
              <w:rPr>
                <w:rFonts w:hint="eastAsia" w:ascii="宋体" w:hAnsi="宋体" w:eastAsia="宋体"/>
                <w:sz w:val="24"/>
                <w:szCs w:val="24"/>
              </w:rPr>
              <w:t>评分标准</w:t>
            </w:r>
          </w:p>
        </w:tc>
        <w:tc>
          <w:tcPr>
            <w:tcW w:w="1036" w:type="dxa"/>
            <w:vAlign w:val="center"/>
          </w:tcPr>
          <w:p>
            <w:pPr>
              <w:spacing w:line="360" w:lineRule="auto"/>
              <w:rPr>
                <w:rFonts w:ascii="宋体" w:hAnsi="宋体" w:eastAsia="宋体"/>
                <w:sz w:val="24"/>
                <w:szCs w:val="24"/>
              </w:rPr>
            </w:pPr>
            <w:r>
              <w:rPr>
                <w:rFonts w:hint="eastAsia" w:ascii="宋体" w:hAnsi="宋体" w:eastAsia="宋体"/>
                <w:sz w:val="24"/>
                <w:szCs w:val="24"/>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080"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1</w:t>
            </w:r>
          </w:p>
        </w:tc>
        <w:tc>
          <w:tcPr>
            <w:tcW w:w="1080" w:type="dxa"/>
            <w:vAlign w:val="center"/>
          </w:tcPr>
          <w:p>
            <w:pPr>
              <w:spacing w:line="360" w:lineRule="auto"/>
              <w:rPr>
                <w:rFonts w:ascii="宋体" w:hAnsi="宋体" w:eastAsia="宋体"/>
                <w:sz w:val="24"/>
                <w:szCs w:val="24"/>
              </w:rPr>
            </w:pPr>
            <w:r>
              <w:rPr>
                <w:rFonts w:hint="eastAsia" w:ascii="宋体" w:hAnsi="宋体" w:eastAsia="宋体"/>
                <w:sz w:val="24"/>
                <w:szCs w:val="24"/>
              </w:rPr>
              <w:t>报价</w:t>
            </w:r>
          </w:p>
        </w:tc>
        <w:tc>
          <w:tcPr>
            <w:tcW w:w="1080" w:type="dxa"/>
            <w:vAlign w:val="center"/>
          </w:tcPr>
          <w:p>
            <w:pPr>
              <w:spacing w:line="360" w:lineRule="auto"/>
              <w:rPr>
                <w:rFonts w:ascii="宋体" w:hAnsi="宋体" w:eastAsia="宋体"/>
                <w:sz w:val="24"/>
                <w:szCs w:val="24"/>
              </w:rPr>
            </w:pPr>
            <w:r>
              <w:rPr>
                <w:rFonts w:hint="eastAsia" w:ascii="宋体" w:hAnsi="宋体" w:eastAsia="宋体"/>
                <w:sz w:val="24"/>
                <w:szCs w:val="24"/>
              </w:rPr>
              <w:t>10分</w:t>
            </w: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通过审查且投标报价最低的投标人的投标报价作为评标基准价；投标报价得分=(基准价／投标报价)×10%×100</w:t>
            </w:r>
          </w:p>
        </w:tc>
        <w:tc>
          <w:tcPr>
            <w:tcW w:w="1036" w:type="dxa"/>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80" w:type="dxa"/>
            <w:vMerge w:val="restart"/>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2</w:t>
            </w:r>
          </w:p>
        </w:tc>
        <w:tc>
          <w:tcPr>
            <w:tcW w:w="1080"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测评</w:t>
            </w:r>
          </w:p>
          <w:p>
            <w:pPr>
              <w:spacing w:line="360" w:lineRule="auto"/>
              <w:rPr>
                <w:rFonts w:ascii="宋体" w:hAnsi="宋体" w:eastAsia="宋体"/>
                <w:sz w:val="24"/>
                <w:szCs w:val="24"/>
              </w:rPr>
            </w:pPr>
            <w:r>
              <w:rPr>
                <w:rFonts w:hint="eastAsia" w:ascii="宋体" w:hAnsi="宋体" w:eastAsia="宋体"/>
                <w:sz w:val="24"/>
                <w:szCs w:val="24"/>
              </w:rPr>
              <w:t>方案</w:t>
            </w:r>
          </w:p>
        </w:tc>
        <w:tc>
          <w:tcPr>
            <w:tcW w:w="1080"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10分</w:t>
            </w:r>
          </w:p>
        </w:tc>
        <w:tc>
          <w:tcPr>
            <w:tcW w:w="4964" w:type="dxa"/>
            <w:vMerge w:val="restart"/>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供应商提供的测评方案中应包含以下内容：</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测评流程、测评方法</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测评指标和配合需求内容</w:t>
            </w:r>
          </w:p>
          <w:p>
            <w:pPr>
              <w:spacing w:line="360" w:lineRule="auto"/>
              <w:ind w:firstLine="470" w:firstLineChars="196"/>
              <w:rPr>
                <w:rFonts w:ascii="宋体" w:hAnsi="宋体" w:eastAsia="宋体"/>
                <w:sz w:val="24"/>
                <w:szCs w:val="24"/>
              </w:rPr>
            </w:pPr>
            <w:r>
              <w:rPr>
                <w:rFonts w:hint="eastAsia" w:ascii="宋体" w:hAnsi="宋体" w:eastAsia="宋体"/>
                <w:sz w:val="24"/>
                <w:szCs w:val="24"/>
              </w:rPr>
              <w:t>物理环境安全</w:t>
            </w:r>
          </w:p>
          <w:p>
            <w:pPr>
              <w:spacing w:line="360" w:lineRule="auto"/>
              <w:ind w:firstLine="470" w:firstLineChars="196"/>
              <w:rPr>
                <w:rFonts w:ascii="宋体" w:hAnsi="宋体" w:eastAsia="宋体"/>
                <w:sz w:val="24"/>
                <w:szCs w:val="24"/>
              </w:rPr>
            </w:pPr>
            <w:r>
              <w:rPr>
                <w:rFonts w:hint="eastAsia" w:ascii="宋体" w:hAnsi="宋体" w:eastAsia="宋体"/>
                <w:sz w:val="24"/>
                <w:szCs w:val="24"/>
              </w:rPr>
              <w:t>网络通信安全</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安全区域边界</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安全计算环境</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安全管理中心</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安全管理制度</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安全管理机构</w:t>
            </w:r>
          </w:p>
          <w:p>
            <w:pPr>
              <w:spacing w:line="360" w:lineRule="auto"/>
              <w:ind w:firstLine="470" w:firstLineChars="196"/>
              <w:rPr>
                <w:rFonts w:ascii="宋体" w:hAnsi="宋体" w:eastAsia="宋体"/>
                <w:sz w:val="24"/>
                <w:szCs w:val="24"/>
              </w:rPr>
            </w:pPr>
            <w:r>
              <w:rPr>
                <w:rFonts w:hint="eastAsia" w:ascii="宋体" w:hAnsi="宋体" w:eastAsia="宋体"/>
                <w:sz w:val="24"/>
                <w:szCs w:val="24"/>
              </w:rPr>
              <w:t>安全管理人员</w:t>
            </w:r>
          </w:p>
          <w:p>
            <w:pPr>
              <w:spacing w:line="360" w:lineRule="auto"/>
              <w:ind w:firstLine="470" w:firstLineChars="196"/>
              <w:rPr>
                <w:rFonts w:ascii="宋体" w:hAnsi="宋体" w:eastAsia="宋体"/>
                <w:sz w:val="24"/>
                <w:szCs w:val="24"/>
              </w:rPr>
            </w:pPr>
            <w:r>
              <w:rPr>
                <w:rFonts w:hint="eastAsia" w:ascii="宋体" w:hAnsi="宋体" w:eastAsia="宋体"/>
                <w:sz w:val="24"/>
                <w:szCs w:val="24"/>
              </w:rPr>
              <w:t>提供以上完整内容的测评方案并满足项目需求的得10分，每有一项缺项扣1分，扣完为止。</w:t>
            </w:r>
          </w:p>
        </w:tc>
        <w:tc>
          <w:tcPr>
            <w:tcW w:w="1036" w:type="dxa"/>
            <w:vMerge w:val="restart"/>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6"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Merge w:val="continue"/>
            <w:vAlign w:val="center"/>
          </w:tcPr>
          <w:p>
            <w:pPr>
              <w:spacing w:line="360" w:lineRule="auto"/>
              <w:ind w:firstLine="470" w:firstLineChars="196"/>
              <w:rPr>
                <w:rFonts w:ascii="宋体" w:hAnsi="宋体" w:eastAsia="宋体"/>
                <w:sz w:val="24"/>
                <w:szCs w:val="24"/>
              </w:rPr>
            </w:pP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Merge w:val="restart"/>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3</w:t>
            </w:r>
          </w:p>
        </w:tc>
        <w:tc>
          <w:tcPr>
            <w:tcW w:w="1080"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投标人机构技术团队情况</w:t>
            </w:r>
          </w:p>
        </w:tc>
        <w:tc>
          <w:tcPr>
            <w:tcW w:w="1080"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27分</w:t>
            </w: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拟派技术负责人1名具有:</w:t>
            </w:r>
          </w:p>
        </w:tc>
        <w:tc>
          <w:tcPr>
            <w:tcW w:w="1036"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人员不重复计算</w:t>
            </w:r>
          </w:p>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（1）信息安全等级评测师（高级）证书或网络安全等级评测师（高级）证书得3分；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（2）工业互联网安全评估工程师（CIISA）证书（高级）得3分；</w:t>
            </w:r>
          </w:p>
        </w:tc>
        <w:tc>
          <w:tcPr>
            <w:tcW w:w="1036" w:type="dxa"/>
            <w:vMerge w:val="continue"/>
            <w:noWrap/>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（3）注册渗透测试工程师（CISP-PTE）证书得3分；</w:t>
            </w:r>
          </w:p>
        </w:tc>
        <w:tc>
          <w:tcPr>
            <w:tcW w:w="1036" w:type="dxa"/>
            <w:vMerge w:val="continue"/>
            <w:noWrap/>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（4）网络安全管理CCSC（I级）得3分；</w:t>
            </w:r>
          </w:p>
        </w:tc>
        <w:tc>
          <w:tcPr>
            <w:tcW w:w="1036" w:type="dxa"/>
            <w:vMerge w:val="continue"/>
            <w:noWrap/>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（5）具有注册数据安全治理工程师得3分；</w:t>
            </w:r>
          </w:p>
        </w:tc>
        <w:tc>
          <w:tcPr>
            <w:tcW w:w="1036" w:type="dxa"/>
            <w:vMerge w:val="continue"/>
            <w:noWrap/>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eastAsia="zh-Hans"/>
              </w:rPr>
              <w:t>计算机技术与软件专业资格信息安全工程师（软考类）</w:t>
            </w:r>
            <w:r>
              <w:rPr>
                <w:rFonts w:hint="eastAsia" w:ascii="宋体" w:hAnsi="宋体" w:eastAsia="宋体"/>
                <w:sz w:val="24"/>
                <w:szCs w:val="24"/>
              </w:rPr>
              <w:t>得3分；</w:t>
            </w:r>
          </w:p>
        </w:tc>
        <w:tc>
          <w:tcPr>
            <w:tcW w:w="1036" w:type="dxa"/>
            <w:vMerge w:val="continue"/>
            <w:noWrap/>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（7）IT服务工程师证书得3分；</w:t>
            </w:r>
          </w:p>
        </w:tc>
        <w:tc>
          <w:tcPr>
            <w:tcW w:w="1036" w:type="dxa"/>
            <w:vMerge w:val="continue"/>
            <w:noWrap/>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（8）国家重要信息系统保护人员证书(CIIP-A)得3分；</w:t>
            </w:r>
          </w:p>
        </w:tc>
        <w:tc>
          <w:tcPr>
            <w:tcW w:w="1036" w:type="dxa"/>
            <w:vMerge w:val="continue"/>
            <w:noWrap/>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（9）注册信息安全专业人员（CISP）得3分。</w:t>
            </w:r>
          </w:p>
        </w:tc>
        <w:tc>
          <w:tcPr>
            <w:tcW w:w="1036" w:type="dxa"/>
            <w:vMerge w:val="continue"/>
            <w:noWrap/>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注：提供以上证书复印件并加盖投标人公章，每一个得3分，最多得27分。未提供不得分。</w:t>
            </w:r>
          </w:p>
        </w:tc>
        <w:tc>
          <w:tcPr>
            <w:tcW w:w="1036" w:type="dxa"/>
            <w:vMerge w:val="continue"/>
            <w:noWrap/>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24分</w:t>
            </w: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拟派项目经理1名具有：</w:t>
            </w:r>
          </w:p>
        </w:tc>
        <w:tc>
          <w:tcPr>
            <w:tcW w:w="1036"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人员不重复计算</w:t>
            </w:r>
          </w:p>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（1）信息安全等级评测师（高级）证书或网络安全等级评测师（高级）证书得3分；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（2）网络安全管理CCSC（I级）得3分；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（3）网络安全服务工程师得3分；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（4）IT服务工程师证书得3分；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（5）信息系统咨询师（高级）得3分；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（6）具有国家信息安全水平证书得3分;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shd w:val="clear" w:color="auto" w:fill="auto"/>
            <w:vAlign w:val="center"/>
          </w:tcPr>
          <w:p>
            <w:pPr>
              <w:spacing w:line="360" w:lineRule="auto"/>
              <w:ind w:firstLine="470" w:firstLineChars="196"/>
              <w:rPr>
                <w:rFonts w:ascii="宋体" w:hAnsi="宋体" w:eastAsia="宋体"/>
                <w:sz w:val="24"/>
                <w:szCs w:val="24"/>
              </w:rPr>
            </w:pPr>
          </w:p>
        </w:tc>
        <w:tc>
          <w:tcPr>
            <w:tcW w:w="1080" w:type="dxa"/>
            <w:vMerge w:val="continue"/>
            <w:shd w:val="clear" w:color="auto" w:fill="auto"/>
            <w:vAlign w:val="center"/>
          </w:tcPr>
          <w:p>
            <w:pPr>
              <w:spacing w:line="360" w:lineRule="auto"/>
              <w:ind w:firstLine="470" w:firstLineChars="196"/>
              <w:rPr>
                <w:rFonts w:ascii="宋体" w:hAnsi="宋体" w:eastAsia="宋体"/>
                <w:sz w:val="24"/>
                <w:szCs w:val="24"/>
              </w:rPr>
            </w:pPr>
          </w:p>
        </w:tc>
        <w:tc>
          <w:tcPr>
            <w:tcW w:w="1080" w:type="dxa"/>
            <w:vMerge w:val="continue"/>
            <w:shd w:val="clear" w:color="auto" w:fill="auto"/>
            <w:vAlign w:val="center"/>
          </w:tcPr>
          <w:p>
            <w:pPr>
              <w:spacing w:line="360" w:lineRule="auto"/>
              <w:ind w:firstLine="470" w:firstLineChars="196"/>
              <w:rPr>
                <w:rFonts w:ascii="宋体" w:hAnsi="宋体" w:eastAsia="宋体"/>
                <w:sz w:val="24"/>
                <w:szCs w:val="24"/>
              </w:rPr>
            </w:pPr>
          </w:p>
        </w:tc>
        <w:tc>
          <w:tcPr>
            <w:tcW w:w="4964" w:type="dxa"/>
            <w:shd w:val="clear" w:color="auto" w:fill="FFFFFF"/>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（7）网络工程师（高级）得3分；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（8）国家重要信息系统保护人员证书(CIIP-A)得3分。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注：提供以上证书复印件并加盖投标人公章，每一个得3分，最多得24分，未提供不得分。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10分</w:t>
            </w: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拟派测试团队人员在具有信息安全等级测评师证书的同时具有以下证书：</w:t>
            </w:r>
          </w:p>
        </w:tc>
        <w:tc>
          <w:tcPr>
            <w:tcW w:w="1036"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人员不重复计算</w:t>
            </w:r>
          </w:p>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（1）网络安全技术（I级）得2分；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（2）工业互联网安全评估工程师（CIISA）证书得2分；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（3）信息安全保障人员（CISAW）得2分；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（4）注册渗透测试专家（CISP-PTS)证书得2分；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（5）商用密码应用安全性评估人员合格证书得2分。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注：提供以上证书复印件并加盖投标人公章，全部具有得10分，不能重复计分，缺一个扣2分，扣完为止。</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restart"/>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4</w:t>
            </w:r>
          </w:p>
        </w:tc>
        <w:tc>
          <w:tcPr>
            <w:tcW w:w="1080"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投标人</w:t>
            </w:r>
          </w:p>
          <w:p>
            <w:pPr>
              <w:spacing w:line="360" w:lineRule="auto"/>
              <w:rPr>
                <w:rFonts w:ascii="宋体" w:hAnsi="宋体" w:eastAsia="宋体"/>
                <w:sz w:val="24"/>
                <w:szCs w:val="24"/>
              </w:rPr>
            </w:pPr>
            <w:r>
              <w:rPr>
                <w:rFonts w:hint="eastAsia" w:ascii="宋体" w:hAnsi="宋体" w:eastAsia="宋体"/>
                <w:sz w:val="24"/>
                <w:szCs w:val="24"/>
              </w:rPr>
              <w:t>业绩</w:t>
            </w:r>
          </w:p>
        </w:tc>
        <w:tc>
          <w:tcPr>
            <w:tcW w:w="1080"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4分</w:t>
            </w: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投标人自2021年1月1日至递交投标文件截止之日，具有同类信息安全测评项目业绩的，每提供1个业绩得1分，最多得4分。</w:t>
            </w:r>
          </w:p>
        </w:tc>
        <w:tc>
          <w:tcPr>
            <w:tcW w:w="1036" w:type="dxa"/>
            <w:vMerge w:val="restart"/>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注：提供合同复印件或中标（成交）通知书复印件并加盖投标人公章，未提供不得分。（以合同签订时间或通知书发出为准）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080" w:type="dxa"/>
            <w:vMerge w:val="restart"/>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5</w:t>
            </w:r>
          </w:p>
        </w:tc>
        <w:tc>
          <w:tcPr>
            <w:tcW w:w="1080"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投标人实力</w:t>
            </w:r>
          </w:p>
        </w:tc>
        <w:tc>
          <w:tcPr>
            <w:tcW w:w="1080" w:type="dxa"/>
            <w:vMerge w:val="restart"/>
            <w:vAlign w:val="center"/>
          </w:tcPr>
          <w:p>
            <w:pPr>
              <w:spacing w:line="360" w:lineRule="auto"/>
              <w:rPr>
                <w:rFonts w:ascii="宋体" w:hAnsi="宋体" w:eastAsia="宋体"/>
                <w:sz w:val="24"/>
                <w:szCs w:val="24"/>
              </w:rPr>
            </w:pPr>
            <w:r>
              <w:rPr>
                <w:rFonts w:hint="eastAsia" w:ascii="宋体" w:hAnsi="宋体" w:eastAsia="宋体"/>
                <w:sz w:val="24"/>
                <w:szCs w:val="24"/>
              </w:rPr>
              <w:t>15分</w:t>
            </w: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（1）投标人具有质量管理体系认证证书, 认证范围包括“等级保护测评测试评估服务”相关得3分；</w:t>
            </w:r>
          </w:p>
        </w:tc>
        <w:tc>
          <w:tcPr>
            <w:tcW w:w="1036" w:type="dxa"/>
            <w:vMerge w:val="restart"/>
            <w:vAlign w:val="center"/>
          </w:tcPr>
          <w:p>
            <w:pPr>
              <w:spacing w:line="360" w:lineRule="auto"/>
              <w:ind w:firstLine="470" w:firstLineChars="196"/>
              <w:rPr>
                <w:rFonts w:ascii="宋体" w:hAnsi="宋体" w:eastAsia="宋体"/>
                <w:sz w:val="24"/>
                <w:szCs w:val="24"/>
              </w:rPr>
            </w:pPr>
          </w:p>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（2）投标人具有信息技术服务管理体系证书, 认证范围包括“等级保护测评测试评估服务” 相关得3分；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（3）投标人具有信息安全管理体系证书，认证范围包括“等级保护测评测试评估服务” 相关得3分；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（4）投标人具有检验检测机构资质认定证书（CMA证书）得3分；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（5）投标人具有工业互联网安全评估评测机构资质证书得3分。</w:t>
            </w:r>
          </w:p>
        </w:tc>
        <w:tc>
          <w:tcPr>
            <w:tcW w:w="1036" w:type="dxa"/>
            <w:vMerge w:val="continue"/>
            <w:vAlign w:val="center"/>
          </w:tcPr>
          <w:p>
            <w:pPr>
              <w:spacing w:line="360" w:lineRule="auto"/>
              <w:ind w:firstLine="470" w:firstLineChars="196"/>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1080" w:type="dxa"/>
            <w:vMerge w:val="continue"/>
            <w:vAlign w:val="center"/>
          </w:tcPr>
          <w:p>
            <w:pPr>
              <w:spacing w:line="360" w:lineRule="auto"/>
              <w:ind w:firstLine="470" w:firstLineChars="196"/>
              <w:rPr>
                <w:rFonts w:ascii="宋体" w:hAnsi="宋体" w:eastAsia="宋体"/>
                <w:sz w:val="24"/>
                <w:szCs w:val="24"/>
              </w:rPr>
            </w:pPr>
          </w:p>
        </w:tc>
        <w:tc>
          <w:tcPr>
            <w:tcW w:w="4964" w:type="dxa"/>
            <w:vAlign w:val="center"/>
          </w:tcPr>
          <w:p>
            <w:pPr>
              <w:spacing w:line="360" w:lineRule="auto"/>
              <w:ind w:firstLine="470" w:firstLineChars="196"/>
              <w:rPr>
                <w:rFonts w:ascii="宋体" w:hAnsi="宋体" w:eastAsia="宋体"/>
                <w:sz w:val="24"/>
                <w:szCs w:val="24"/>
              </w:rPr>
            </w:pPr>
            <w:r>
              <w:rPr>
                <w:rFonts w:hint="eastAsia" w:ascii="宋体" w:hAnsi="宋体" w:eastAsia="宋体"/>
                <w:sz w:val="24"/>
                <w:szCs w:val="24"/>
              </w:rPr>
              <w:t>注：提供以上有效期内的证书复印件并加盖投标人公章。</w:t>
            </w:r>
          </w:p>
        </w:tc>
        <w:tc>
          <w:tcPr>
            <w:tcW w:w="1036" w:type="dxa"/>
            <w:vMerge w:val="continue"/>
            <w:vAlign w:val="center"/>
          </w:tcPr>
          <w:p>
            <w:pPr>
              <w:spacing w:line="360" w:lineRule="auto"/>
              <w:ind w:firstLine="470" w:firstLineChars="196"/>
              <w:rPr>
                <w:rFonts w:ascii="宋体" w:hAnsi="宋体" w:eastAsia="宋体"/>
                <w:sz w:val="24"/>
                <w:szCs w:val="24"/>
              </w:rPr>
            </w:pPr>
          </w:p>
        </w:tc>
      </w:tr>
    </w:tbl>
    <w:p>
      <w:pPr>
        <w:spacing w:line="360" w:lineRule="auto"/>
        <w:ind w:firstLine="470" w:firstLineChars="196"/>
        <w:rPr>
          <w:rFonts w:ascii="宋体" w:hAnsi="宋体" w:eastAsia="宋体"/>
          <w:sz w:val="24"/>
          <w:szCs w:val="24"/>
        </w:rPr>
      </w:pPr>
      <w:r>
        <w:rPr>
          <w:rFonts w:hint="eastAsia" w:ascii="宋体" w:hAnsi="宋体" w:eastAsia="宋体"/>
          <w:sz w:val="24"/>
          <w:szCs w:val="24"/>
        </w:rPr>
        <w:t xml:space="preserve"> </w:t>
      </w:r>
    </w:p>
    <w:p>
      <w:pPr>
        <w:rPr>
          <w:rFonts w:ascii="宋体" w:hAnsi="宋体" w:eastAsia="宋体"/>
          <w:sz w:val="24"/>
          <w:szCs w:val="24"/>
        </w:rPr>
      </w:pPr>
    </w:p>
    <w:p>
      <w:pPr>
        <w:pStyle w:val="9"/>
      </w:pPr>
    </w:p>
    <w:p>
      <w:pPr>
        <w:jc w:val="center"/>
        <w:rPr>
          <w:rFonts w:ascii="宋体" w:hAnsi="宋体" w:eastAsia="宋体" w:cs="仿宋"/>
          <w:sz w:val="24"/>
          <w:szCs w:val="24"/>
          <w:lang w:val="zh-TW" w:eastAsia="zh-TW"/>
        </w:rPr>
      </w:pPr>
    </w:p>
    <w:p>
      <w:pPr>
        <w:pStyle w:val="23"/>
        <w:spacing w:after="0"/>
        <w:rPr>
          <w:rFonts w:eastAsia="宋体" w:cs="仿宋"/>
          <w:szCs w:val="24"/>
          <w:lang w:val="zh-TW" w:eastAsia="zh-TW"/>
        </w:rPr>
      </w:pPr>
    </w:p>
    <w:p>
      <w:pPr>
        <w:pStyle w:val="23"/>
        <w:spacing w:after="0"/>
        <w:rPr>
          <w:rFonts w:eastAsia="宋体" w:cs="仿宋"/>
          <w:szCs w:val="24"/>
          <w:lang w:val="zh-TW" w:eastAsia="zh-TW"/>
        </w:rPr>
      </w:pPr>
    </w:p>
    <w:p>
      <w:pPr>
        <w:rPr>
          <w:rFonts w:ascii="宋体" w:hAnsi="宋体" w:eastAsia="宋体"/>
          <w:sz w:val="36"/>
          <w:szCs w:val="36"/>
        </w:rPr>
      </w:pPr>
      <w:r>
        <w:rPr>
          <w:rFonts w:hint="eastAsia" w:ascii="宋体" w:hAnsi="宋体" w:eastAsia="宋体"/>
          <w:sz w:val="36"/>
          <w:szCs w:val="36"/>
        </w:rPr>
        <w:br w:type="page"/>
      </w:r>
    </w:p>
    <w:p>
      <w:pPr>
        <w:pStyle w:val="2"/>
        <w:spacing w:before="0" w:after="0" w:line="400" w:lineRule="exact"/>
        <w:ind w:firstLine="2168" w:firstLineChars="600"/>
        <w:rPr>
          <w:rFonts w:ascii="宋体" w:hAnsi="宋体" w:eastAsia="宋体"/>
          <w:sz w:val="36"/>
          <w:szCs w:val="36"/>
        </w:rPr>
      </w:pPr>
      <w:r>
        <w:rPr>
          <w:rFonts w:hint="eastAsia" w:ascii="宋体" w:hAnsi="宋体" w:eastAsia="宋体"/>
          <w:sz w:val="36"/>
          <w:szCs w:val="36"/>
        </w:rPr>
        <w:t>第六章 比选申请文件格式</w:t>
      </w:r>
      <w:bookmarkEnd w:id="24"/>
    </w:p>
    <w:p>
      <w:pPr>
        <w:ind w:firstLine="3614" w:firstLineChars="1000"/>
        <w:rPr>
          <w:rFonts w:ascii="宋体" w:hAnsi="宋体" w:eastAsia="宋体" w:cs="Times New Roman"/>
          <w:b/>
          <w:sz w:val="36"/>
        </w:rPr>
      </w:pPr>
      <w:r>
        <w:rPr>
          <w:rFonts w:ascii="宋体" w:hAnsi="宋体" w:eastAsia="宋体" w:cs="Times New Roman"/>
          <w:b/>
          <w:sz w:val="36"/>
        </w:rPr>
        <w:t>（正本）</w:t>
      </w:r>
    </w:p>
    <w:p>
      <w:pPr>
        <w:spacing w:line="360" w:lineRule="auto"/>
        <w:ind w:firstLine="2088" w:firstLineChars="400"/>
        <w:rPr>
          <w:rFonts w:ascii="宋体" w:hAnsi="宋体" w:eastAsia="宋体"/>
          <w:b/>
          <w:sz w:val="52"/>
          <w:szCs w:val="52"/>
        </w:rPr>
      </w:pPr>
      <w:r>
        <w:rPr>
          <w:rFonts w:hint="eastAsia" w:ascii="宋体" w:hAnsi="宋体" w:eastAsia="宋体"/>
          <w:b/>
          <w:sz w:val="52"/>
          <w:szCs w:val="52"/>
        </w:rPr>
        <w:t>竞争性比选申请文件</w:t>
      </w:r>
    </w:p>
    <w:p>
      <w:pPr>
        <w:spacing w:line="360" w:lineRule="auto"/>
        <w:ind w:firstLine="1446" w:firstLineChars="200"/>
        <w:jc w:val="left"/>
        <w:rPr>
          <w:rFonts w:ascii="宋体" w:hAnsi="宋体" w:eastAsia="宋体"/>
          <w:b/>
          <w:sz w:val="72"/>
          <w:szCs w:val="72"/>
        </w:rPr>
      </w:pPr>
    </w:p>
    <w:p>
      <w:pPr>
        <w:spacing w:line="360" w:lineRule="auto"/>
        <w:ind w:firstLine="1446" w:firstLineChars="200"/>
        <w:jc w:val="left"/>
        <w:rPr>
          <w:rFonts w:ascii="宋体" w:hAnsi="宋体" w:eastAsia="宋体"/>
          <w:b/>
          <w:sz w:val="72"/>
          <w:szCs w:val="72"/>
        </w:rPr>
      </w:pPr>
    </w:p>
    <w:p>
      <w:pPr>
        <w:spacing w:line="360" w:lineRule="auto"/>
        <w:ind w:firstLine="643" w:firstLineChars="200"/>
        <w:jc w:val="left"/>
        <w:rPr>
          <w:rFonts w:ascii="宋体" w:hAnsi="宋体" w:eastAsia="宋体" w:cs="Times New Roman"/>
          <w:b/>
          <w:sz w:val="32"/>
          <w:u w:val="single"/>
        </w:rPr>
      </w:pPr>
      <w:r>
        <w:rPr>
          <w:rFonts w:hint="eastAsia" w:ascii="宋体" w:hAnsi="宋体" w:eastAsia="宋体" w:cs="Times New Roman"/>
          <w:b/>
          <w:sz w:val="32"/>
        </w:rPr>
        <w:t>申请人</w:t>
      </w:r>
      <w:r>
        <w:rPr>
          <w:rFonts w:ascii="宋体" w:hAnsi="宋体" w:eastAsia="宋体" w:cs="Times New Roman"/>
          <w:b/>
          <w:sz w:val="32"/>
        </w:rPr>
        <w:t>名称：</w:t>
      </w:r>
    </w:p>
    <w:p>
      <w:pPr>
        <w:spacing w:line="360" w:lineRule="auto"/>
        <w:ind w:firstLine="643" w:firstLineChars="200"/>
        <w:jc w:val="left"/>
        <w:rPr>
          <w:rFonts w:ascii="宋体" w:hAnsi="宋体" w:eastAsia="宋体" w:cs="Times New Roman"/>
          <w:b/>
          <w:sz w:val="32"/>
        </w:rPr>
      </w:pPr>
      <w:r>
        <w:rPr>
          <w:rFonts w:hint="eastAsia" w:ascii="宋体" w:hAnsi="宋体" w:eastAsia="宋体" w:cs="Times New Roman"/>
          <w:b/>
          <w:sz w:val="32"/>
        </w:rPr>
        <w:t>项目</w:t>
      </w:r>
      <w:r>
        <w:rPr>
          <w:rFonts w:ascii="宋体" w:hAnsi="宋体" w:eastAsia="宋体" w:cs="Times New Roman"/>
          <w:b/>
          <w:sz w:val="32"/>
        </w:rPr>
        <w:t>编号：</w:t>
      </w:r>
    </w:p>
    <w:p>
      <w:pPr>
        <w:pStyle w:val="9"/>
        <w:spacing w:after="0"/>
        <w:ind w:firstLine="643" w:firstLineChars="200"/>
        <w:rPr>
          <w:rFonts w:ascii="宋体" w:hAnsi="宋体" w:eastAsia="宋体"/>
        </w:rPr>
      </w:pPr>
      <w:r>
        <w:rPr>
          <w:rFonts w:hint="eastAsia" w:ascii="宋体" w:hAnsi="宋体" w:eastAsia="宋体" w:cs="Times New Roman"/>
          <w:b/>
          <w:sz w:val="32"/>
        </w:rPr>
        <w:t>包号：（若有）</w:t>
      </w:r>
    </w:p>
    <w:p>
      <w:pPr>
        <w:jc w:val="center"/>
        <w:rPr>
          <w:rFonts w:ascii="宋体" w:hAnsi="宋体" w:eastAsia="宋体" w:cs="Times New Roman"/>
          <w:b/>
          <w:sz w:val="36"/>
        </w:rPr>
      </w:pPr>
    </w:p>
    <w:p>
      <w:pPr>
        <w:jc w:val="center"/>
        <w:rPr>
          <w:rFonts w:ascii="宋体" w:hAnsi="宋体" w:eastAsia="宋体" w:cs="Times New Roman"/>
          <w:b/>
          <w:sz w:val="32"/>
          <w:szCs w:val="32"/>
        </w:rPr>
      </w:pPr>
    </w:p>
    <w:p>
      <w:pPr>
        <w:jc w:val="center"/>
        <w:rPr>
          <w:rFonts w:ascii="宋体" w:hAnsi="宋体" w:eastAsia="宋体" w:cs="Times New Roman"/>
          <w:b/>
          <w:sz w:val="36"/>
        </w:rPr>
      </w:pPr>
    </w:p>
    <w:p>
      <w:pPr>
        <w:jc w:val="center"/>
        <w:rPr>
          <w:rFonts w:ascii="宋体" w:hAnsi="宋体" w:eastAsia="宋体" w:cs="Times New Roman"/>
          <w:b/>
          <w:sz w:val="36"/>
        </w:rPr>
      </w:pPr>
    </w:p>
    <w:p>
      <w:pPr>
        <w:spacing w:line="440" w:lineRule="exact"/>
        <w:jc w:val="center"/>
        <w:rPr>
          <w:rFonts w:ascii="宋体" w:hAnsi="宋体" w:eastAsia="宋体" w:cs="Times New Roman"/>
          <w:b/>
          <w:sz w:val="36"/>
        </w:rPr>
      </w:pPr>
    </w:p>
    <w:p>
      <w:pPr>
        <w:jc w:val="center"/>
        <w:rPr>
          <w:rFonts w:ascii="宋体" w:hAnsi="宋体" w:eastAsia="宋体" w:cs="Arial"/>
          <w:b/>
          <w:bCs/>
          <w:sz w:val="32"/>
          <w:szCs w:val="32"/>
        </w:rPr>
      </w:pPr>
      <w:r>
        <w:rPr>
          <w:rFonts w:hint="eastAsia" w:ascii="宋体" w:hAnsi="宋体" w:eastAsia="宋体" w:cs="Times New Roman"/>
          <w:b/>
          <w:sz w:val="32"/>
        </w:rPr>
        <w:t xml:space="preserve">                           </w:t>
      </w:r>
      <w:r>
        <w:rPr>
          <w:rFonts w:ascii="宋体" w:hAnsi="宋体" w:eastAsia="宋体" w:cs="Times New Roman"/>
          <w:b/>
          <w:sz w:val="32"/>
        </w:rPr>
        <w:t>日期：</w:t>
      </w:r>
      <w:r>
        <w:rPr>
          <w:rFonts w:hint="eastAsia" w:ascii="宋体" w:hAnsi="宋体" w:eastAsia="宋体" w:cs="Times New Roman"/>
          <w:b/>
          <w:sz w:val="32"/>
        </w:rPr>
        <w:t>XX年XX</w:t>
      </w:r>
      <w:r>
        <w:rPr>
          <w:rFonts w:ascii="宋体" w:hAnsi="宋体" w:eastAsia="宋体" w:cs="Times New Roman"/>
          <w:b/>
          <w:sz w:val="32"/>
        </w:rPr>
        <w:t>月</w:t>
      </w:r>
      <w:r>
        <w:rPr>
          <w:rFonts w:hint="eastAsia" w:ascii="宋体" w:hAnsi="宋体" w:eastAsia="宋体" w:cs="Times New Roman"/>
          <w:b/>
          <w:sz w:val="32"/>
        </w:rPr>
        <w:t>XX</w:t>
      </w:r>
      <w:r>
        <w:rPr>
          <w:rFonts w:ascii="宋体" w:hAnsi="宋体" w:eastAsia="宋体" w:cs="Times New Roman"/>
          <w:b/>
          <w:sz w:val="32"/>
        </w:rPr>
        <w:t>日</w:t>
      </w:r>
    </w:p>
    <w:p>
      <w:pPr>
        <w:rPr>
          <w:rFonts w:ascii="宋体" w:hAnsi="宋体" w:eastAsia="宋体"/>
          <w:sz w:val="32"/>
        </w:rPr>
      </w:pPr>
      <w:bookmarkStart w:id="27" w:name="_Toc217446082"/>
      <w:r>
        <w:rPr>
          <w:rFonts w:hint="eastAsia" w:ascii="宋体" w:hAnsi="宋体" w:eastAsia="宋体"/>
          <w:sz w:val="32"/>
        </w:rPr>
        <w:br w:type="page"/>
      </w:r>
    </w:p>
    <w:bookmarkEnd w:id="27"/>
    <w:p>
      <w:pPr>
        <w:pStyle w:val="3"/>
        <w:numPr>
          <w:ilvl w:val="0"/>
          <w:numId w:val="5"/>
        </w:numPr>
        <w:spacing w:before="0" w:after="0" w:line="400" w:lineRule="exact"/>
        <w:ind w:firstLine="3534" w:firstLineChars="1100"/>
        <w:rPr>
          <w:rFonts w:ascii="宋体" w:hAnsi="宋体" w:eastAsia="宋体"/>
          <w:sz w:val="32"/>
        </w:rPr>
      </w:pPr>
      <w:r>
        <w:rPr>
          <w:rFonts w:hint="eastAsia" w:ascii="宋体" w:hAnsi="宋体" w:eastAsia="宋体"/>
          <w:sz w:val="32"/>
        </w:rPr>
        <w:t>申请函</w:t>
      </w:r>
    </w:p>
    <w:p>
      <w:pPr>
        <w:pStyle w:val="3"/>
        <w:spacing w:before="0" w:after="0" w:line="400" w:lineRule="exact"/>
        <w:rPr>
          <w:rFonts w:ascii="宋体" w:hAnsi="宋体" w:eastAsia="宋体"/>
          <w:sz w:val="24"/>
          <w:szCs w:val="24"/>
          <w:u w:val="single"/>
        </w:rPr>
      </w:pPr>
      <w:r>
        <w:rPr>
          <w:rFonts w:hint="eastAsia" w:ascii="宋体" w:hAnsi="宋体" w:eastAsia="宋体"/>
          <w:sz w:val="24"/>
          <w:szCs w:val="24"/>
          <w:u w:val="single"/>
        </w:rPr>
        <w:t>xxxxxxxxx</w:t>
      </w:r>
      <w:r>
        <w:rPr>
          <w:rFonts w:hint="eastAsia" w:ascii="宋体" w:hAnsi="宋体" w:eastAsia="宋体"/>
          <w:sz w:val="24"/>
          <w:szCs w:val="24"/>
        </w:rPr>
        <w:t>：</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我方全面研究了“</w:t>
      </w:r>
      <w:r>
        <w:rPr>
          <w:rFonts w:hint="eastAsia" w:ascii="宋体" w:hAnsi="宋体" w:eastAsia="宋体"/>
          <w:bCs/>
          <w:sz w:val="24"/>
          <w:szCs w:val="24"/>
          <w:u w:val="single"/>
        </w:rPr>
        <w:t>XXX</w:t>
      </w:r>
      <w:r>
        <w:rPr>
          <w:rFonts w:hint="eastAsia" w:ascii="宋体" w:hAnsi="宋体" w:eastAsia="宋体"/>
          <w:bCs/>
          <w:sz w:val="24"/>
          <w:szCs w:val="24"/>
        </w:rPr>
        <w:t>”项目比选文件（比选编号：</w:t>
      </w:r>
      <w:r>
        <w:rPr>
          <w:rFonts w:ascii="宋体" w:hAnsi="宋体" w:eastAsia="宋体"/>
          <w:bCs/>
          <w:sz w:val="24"/>
          <w:szCs w:val="24"/>
          <w:u w:val="single"/>
        </w:rPr>
        <w:t>XXX</w:t>
      </w:r>
      <w:r>
        <w:rPr>
          <w:rFonts w:hint="eastAsia" w:ascii="宋体" w:hAnsi="宋体" w:eastAsia="宋体"/>
          <w:bCs/>
          <w:sz w:val="24"/>
          <w:szCs w:val="24"/>
        </w:rPr>
        <w:t xml:space="preserve"> ），决定参加贵单位组织的本项目比选。</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我方授权</w:t>
      </w:r>
      <w:r>
        <w:rPr>
          <w:rFonts w:hint="eastAsia" w:ascii="宋体" w:hAnsi="宋体" w:eastAsia="宋体"/>
          <w:bCs/>
          <w:sz w:val="24"/>
          <w:szCs w:val="24"/>
          <w:u w:val="single"/>
        </w:rPr>
        <w:t>XXX</w:t>
      </w:r>
      <w:r>
        <w:rPr>
          <w:rFonts w:hint="eastAsia" w:ascii="宋体" w:hAnsi="宋体" w:eastAsia="宋体"/>
          <w:bCs/>
          <w:sz w:val="24"/>
          <w:szCs w:val="24"/>
        </w:rPr>
        <w:t>（姓名、职务）代表我方</w:t>
      </w:r>
      <w:r>
        <w:rPr>
          <w:rFonts w:hint="eastAsia" w:ascii="宋体" w:hAnsi="宋体" w:eastAsia="宋体"/>
          <w:bCs/>
          <w:sz w:val="24"/>
          <w:szCs w:val="24"/>
          <w:u w:val="single"/>
        </w:rPr>
        <w:t>XXX</w:t>
      </w:r>
      <w:r>
        <w:rPr>
          <w:rFonts w:hint="eastAsia" w:ascii="宋体" w:hAnsi="宋体" w:eastAsia="宋体"/>
          <w:bCs/>
          <w:sz w:val="24"/>
          <w:szCs w:val="24"/>
        </w:rPr>
        <w:t>（申请人名称）全权处理本项目比选的有关事宜。</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1、我方自愿按照比选文件规定的各项要求向比选人提供所需货物/服务。</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2、一旦我方中选，我方将严格履行合同规定的责任和义务。</w:t>
      </w:r>
    </w:p>
    <w:p>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3</w:t>
      </w:r>
      <w:r>
        <w:rPr>
          <w:rFonts w:hint="eastAsia" w:ascii="宋体" w:hAnsi="宋体" w:eastAsia="宋体"/>
          <w:bCs/>
          <w:sz w:val="24"/>
          <w:szCs w:val="24"/>
        </w:rPr>
        <w:t>、我方为本项目提交的</w:t>
      </w:r>
      <w:r>
        <w:rPr>
          <w:rFonts w:hint="eastAsia" w:ascii="宋体" w:hAnsi="宋体" w:eastAsia="宋体"/>
          <w:sz w:val="24"/>
        </w:rPr>
        <w:t>比选申请</w:t>
      </w:r>
      <w:r>
        <w:rPr>
          <w:rFonts w:hint="eastAsia" w:ascii="宋体" w:hAnsi="宋体" w:eastAsia="宋体"/>
          <w:bCs/>
          <w:sz w:val="24"/>
          <w:szCs w:val="24"/>
        </w:rPr>
        <w:t>文件正本1份。</w:t>
      </w:r>
    </w:p>
    <w:p>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4</w:t>
      </w:r>
      <w:r>
        <w:rPr>
          <w:rFonts w:hint="eastAsia" w:ascii="宋体" w:hAnsi="宋体" w:eastAsia="宋体"/>
          <w:bCs/>
          <w:sz w:val="24"/>
          <w:szCs w:val="24"/>
        </w:rPr>
        <w:t>、我方承诺比选有效期为比选截止日后</w:t>
      </w:r>
      <w:r>
        <w:rPr>
          <w:rFonts w:hint="eastAsia" w:ascii="宋体" w:hAnsi="宋体" w:eastAsia="宋体"/>
          <w:bCs/>
          <w:sz w:val="24"/>
          <w:szCs w:val="24"/>
          <w:u w:val="single"/>
        </w:rPr>
        <w:t>XXX</w:t>
      </w:r>
      <w:r>
        <w:rPr>
          <w:rFonts w:hint="eastAsia" w:ascii="宋体" w:hAnsi="宋体" w:eastAsia="宋体"/>
          <w:bCs/>
          <w:sz w:val="24"/>
          <w:szCs w:val="24"/>
        </w:rPr>
        <w:t>天（日历日）。</w:t>
      </w:r>
    </w:p>
    <w:p>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5</w:t>
      </w:r>
      <w:r>
        <w:rPr>
          <w:rFonts w:hint="eastAsia" w:ascii="宋体" w:hAnsi="宋体" w:eastAsia="宋体"/>
          <w:bCs/>
          <w:sz w:val="24"/>
          <w:szCs w:val="24"/>
        </w:rPr>
        <w:t>、我方愿意提供贵校可能另外要求的，与比选有关的文件资料，并保证我方已提供和将要提供的文件资料是真实、准确的。</w:t>
      </w:r>
    </w:p>
    <w:p>
      <w:pPr>
        <w:pStyle w:val="13"/>
        <w:spacing w:line="560" w:lineRule="exact"/>
        <w:ind w:firstLine="480" w:firstLineChars="200"/>
        <w:rPr>
          <w:rFonts w:ascii="宋体" w:hAnsi="宋体" w:eastAsia="宋体"/>
          <w:bCs/>
          <w:sz w:val="24"/>
          <w:szCs w:val="24"/>
        </w:rPr>
      </w:pPr>
      <w:r>
        <w:rPr>
          <w:rFonts w:ascii="宋体" w:hAnsi="宋体" w:eastAsia="宋体"/>
          <w:bCs/>
          <w:sz w:val="24"/>
          <w:szCs w:val="24"/>
        </w:rPr>
        <w:t>6</w:t>
      </w:r>
      <w:r>
        <w:rPr>
          <w:rFonts w:hint="eastAsia" w:ascii="宋体" w:hAnsi="宋体" w:eastAsia="宋体"/>
          <w:bCs/>
          <w:sz w:val="24"/>
          <w:szCs w:val="24"/>
        </w:rPr>
        <w:t>、我方完全理解比选人不一定将合同授予最低报价的</w:t>
      </w:r>
      <w:r>
        <w:rPr>
          <w:rFonts w:hint="eastAsia" w:ascii="宋体" w:hAnsi="宋体" w:eastAsia="宋体"/>
          <w:sz w:val="24"/>
        </w:rPr>
        <w:t>申请人</w:t>
      </w:r>
      <w:r>
        <w:rPr>
          <w:rFonts w:hint="eastAsia" w:ascii="宋体" w:hAnsi="宋体" w:eastAsia="宋体"/>
          <w:bCs/>
          <w:sz w:val="24"/>
          <w:szCs w:val="24"/>
        </w:rPr>
        <w:t>的行为。</w:t>
      </w:r>
    </w:p>
    <w:p>
      <w:pPr>
        <w:pStyle w:val="13"/>
        <w:spacing w:line="560" w:lineRule="exact"/>
        <w:ind w:firstLine="480" w:firstLineChars="200"/>
        <w:rPr>
          <w:rFonts w:ascii="宋体" w:hAnsi="宋体" w:eastAsia="宋体"/>
          <w:bCs/>
          <w:sz w:val="24"/>
          <w:szCs w:val="24"/>
        </w:rPr>
      </w:pPr>
    </w:p>
    <w:p>
      <w:pPr>
        <w:pStyle w:val="13"/>
        <w:spacing w:line="560" w:lineRule="exact"/>
        <w:ind w:firstLine="480" w:firstLineChars="200"/>
        <w:rPr>
          <w:rFonts w:ascii="宋体" w:hAnsi="宋体" w:eastAsia="宋体"/>
          <w:bCs/>
          <w:sz w:val="24"/>
          <w:szCs w:val="24"/>
        </w:rPr>
      </w:pPr>
      <w:r>
        <w:rPr>
          <w:rFonts w:hint="eastAsia" w:ascii="宋体" w:hAnsi="宋体" w:eastAsia="宋体"/>
          <w:sz w:val="24"/>
        </w:rPr>
        <w:t>申请人名称</w:t>
      </w:r>
      <w:r>
        <w:rPr>
          <w:rFonts w:hint="eastAsia" w:ascii="宋体" w:hAnsi="宋体" w:eastAsia="宋体"/>
          <w:bCs/>
          <w:sz w:val="24"/>
          <w:szCs w:val="24"/>
        </w:rPr>
        <w:t>：（盖章）</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法定代表人/</w:t>
      </w:r>
      <w:r>
        <w:rPr>
          <w:rFonts w:hint="eastAsia" w:ascii="宋体" w:hAnsi="宋体" w:eastAsia="宋体"/>
          <w:sz w:val="24"/>
          <w:szCs w:val="24"/>
        </w:rPr>
        <w:t>单位负责人</w:t>
      </w:r>
      <w:r>
        <w:rPr>
          <w:rFonts w:hint="eastAsia" w:ascii="宋体" w:hAnsi="宋体" w:eastAsia="宋体"/>
          <w:bCs/>
          <w:sz w:val="24"/>
          <w:szCs w:val="24"/>
        </w:rPr>
        <w:t>或授权代表（签字）：</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通讯地址：</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邮政编码：</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联系电话：</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传真：</w:t>
      </w:r>
    </w:p>
    <w:p>
      <w:pPr>
        <w:pStyle w:val="13"/>
        <w:spacing w:line="560" w:lineRule="exact"/>
        <w:ind w:firstLine="480" w:firstLineChars="200"/>
        <w:rPr>
          <w:rFonts w:ascii="宋体" w:hAnsi="宋体" w:eastAsia="宋体"/>
          <w:bCs/>
          <w:sz w:val="24"/>
          <w:szCs w:val="24"/>
        </w:rPr>
      </w:pPr>
      <w:r>
        <w:rPr>
          <w:rFonts w:hint="eastAsia" w:ascii="宋体" w:hAnsi="宋体" w:eastAsia="宋体"/>
          <w:bCs/>
          <w:sz w:val="24"/>
          <w:szCs w:val="24"/>
        </w:rPr>
        <w:t>日期：</w:t>
      </w:r>
    </w:p>
    <w:p>
      <w:pPr>
        <w:spacing w:line="560" w:lineRule="exact"/>
        <w:ind w:firstLine="643" w:firstLineChars="200"/>
        <w:rPr>
          <w:rFonts w:ascii="宋体" w:hAnsi="宋体" w:eastAsia="宋体"/>
          <w:b/>
          <w:sz w:val="32"/>
          <w:szCs w:val="32"/>
        </w:rPr>
      </w:pPr>
      <w:r>
        <w:rPr>
          <w:rFonts w:hint="eastAsia" w:ascii="宋体" w:hAnsi="宋体" w:eastAsia="宋体"/>
          <w:b/>
          <w:sz w:val="32"/>
          <w:szCs w:val="32"/>
        </w:rPr>
        <w:br w:type="page"/>
      </w:r>
    </w:p>
    <w:p>
      <w:pPr>
        <w:pStyle w:val="3"/>
        <w:spacing w:before="0" w:after="0" w:line="400" w:lineRule="exact"/>
        <w:jc w:val="center"/>
        <w:rPr>
          <w:rFonts w:ascii="宋体" w:hAnsi="宋体" w:eastAsia="宋体"/>
          <w:sz w:val="32"/>
        </w:rPr>
      </w:pPr>
      <w:r>
        <w:rPr>
          <w:rFonts w:hint="eastAsia" w:ascii="宋体" w:hAnsi="宋体" w:eastAsia="宋体"/>
          <w:sz w:val="32"/>
        </w:rPr>
        <w:t>二、法定代表人/单位负责人授权书</w:t>
      </w:r>
    </w:p>
    <w:p>
      <w:pPr>
        <w:widowControl/>
        <w:spacing w:line="360" w:lineRule="atLeast"/>
        <w:jc w:val="left"/>
        <w:rPr>
          <w:rFonts w:ascii="宋体" w:hAnsi="宋体" w:eastAsia="宋体"/>
          <w:b/>
          <w:sz w:val="24"/>
        </w:rPr>
      </w:pPr>
    </w:p>
    <w:p>
      <w:pPr>
        <w:widowControl/>
        <w:spacing w:line="560" w:lineRule="exact"/>
        <w:jc w:val="left"/>
        <w:rPr>
          <w:rFonts w:ascii="宋体" w:hAnsi="宋体" w:eastAsia="宋体"/>
          <w:sz w:val="24"/>
        </w:rPr>
      </w:pPr>
      <w:r>
        <w:rPr>
          <w:rFonts w:hint="eastAsia" w:ascii="宋体" w:hAnsi="宋体" w:eastAsia="宋体"/>
          <w:sz w:val="24"/>
        </w:rPr>
        <w:t>四川铁道职业学院：</w:t>
      </w:r>
    </w:p>
    <w:p>
      <w:pPr>
        <w:widowControl/>
        <w:spacing w:line="560" w:lineRule="exact"/>
        <w:ind w:firstLine="470" w:firstLineChars="196"/>
        <w:jc w:val="left"/>
        <w:rPr>
          <w:rFonts w:ascii="宋体" w:hAnsi="宋体" w:eastAsia="宋体"/>
          <w:sz w:val="24"/>
        </w:rPr>
      </w:pPr>
      <w:r>
        <w:rPr>
          <w:rFonts w:hint="eastAsia" w:ascii="宋体" w:hAnsi="宋体" w:eastAsia="宋体"/>
          <w:sz w:val="24"/>
        </w:rPr>
        <w:t>本授权声明： XXXX（申请人名称）XXXX（法定代表人/单位负责人姓名、职务）授权XXXX（被授权人姓名、职务）为我方 “项目名称1” （项目编号：系统生成）比选活动的合法代表，以我方名义全权处理该项目有关比选采购、签订合同以及执行合同等一切事宜。</w:t>
      </w:r>
    </w:p>
    <w:p>
      <w:pPr>
        <w:widowControl/>
        <w:spacing w:line="560" w:lineRule="exact"/>
        <w:ind w:firstLine="470" w:firstLineChars="196"/>
        <w:jc w:val="left"/>
        <w:rPr>
          <w:rFonts w:ascii="宋体" w:hAnsi="宋体" w:eastAsia="宋体"/>
          <w:sz w:val="24"/>
        </w:rPr>
      </w:pPr>
      <w:r>
        <w:rPr>
          <w:rFonts w:hint="eastAsia" w:ascii="宋体" w:hAnsi="宋体" w:eastAsia="宋体"/>
          <w:sz w:val="24"/>
        </w:rPr>
        <w:t>特此声明。</w:t>
      </w:r>
    </w:p>
    <w:p>
      <w:pPr>
        <w:pStyle w:val="4"/>
        <w:spacing w:before="0" w:after="0" w:line="560" w:lineRule="exact"/>
      </w:pPr>
    </w:p>
    <w:p>
      <w:pPr>
        <w:widowControl/>
        <w:spacing w:line="560" w:lineRule="exact"/>
        <w:ind w:firstLine="470" w:firstLineChars="196"/>
        <w:jc w:val="left"/>
        <w:rPr>
          <w:rFonts w:ascii="宋体" w:hAnsi="宋体" w:eastAsia="宋体"/>
          <w:sz w:val="24"/>
        </w:rPr>
      </w:pPr>
      <w:r>
        <w:rPr>
          <w:rFonts w:hint="eastAsia" w:ascii="宋体" w:hAnsi="宋体" w:eastAsia="宋体"/>
          <w:sz w:val="24"/>
        </w:rPr>
        <w:t>法定代表人/单位负责人（委托人）签字或加盖个人印章：XXXX。</w:t>
      </w:r>
    </w:p>
    <w:p>
      <w:pPr>
        <w:widowControl/>
        <w:spacing w:line="560" w:lineRule="exact"/>
        <w:ind w:firstLine="470" w:firstLineChars="196"/>
        <w:jc w:val="left"/>
        <w:rPr>
          <w:rFonts w:ascii="宋体" w:hAnsi="宋体" w:eastAsia="宋体"/>
          <w:sz w:val="24"/>
        </w:rPr>
      </w:pPr>
      <w:r>
        <w:rPr>
          <w:rFonts w:hint="eastAsia" w:ascii="宋体" w:hAnsi="宋体" w:eastAsia="宋体"/>
          <w:sz w:val="24"/>
        </w:rPr>
        <w:t>授权代表（被授权人）签字：XXXX。</w:t>
      </w:r>
    </w:p>
    <w:p>
      <w:pPr>
        <w:widowControl/>
        <w:spacing w:line="560" w:lineRule="exact"/>
        <w:ind w:firstLine="470" w:firstLineChars="196"/>
        <w:jc w:val="left"/>
        <w:rPr>
          <w:rFonts w:ascii="宋体" w:hAnsi="宋体" w:eastAsia="宋体"/>
          <w:sz w:val="24"/>
        </w:rPr>
      </w:pPr>
      <w:r>
        <w:rPr>
          <w:rFonts w:hint="eastAsia" w:ascii="宋体" w:hAnsi="宋体" w:eastAsia="宋体"/>
          <w:sz w:val="24"/>
        </w:rPr>
        <w:t>申请人名称：XXXX（单位盖章）。</w:t>
      </w:r>
    </w:p>
    <w:p>
      <w:pPr>
        <w:widowControl/>
        <w:spacing w:line="560" w:lineRule="exact"/>
        <w:ind w:firstLine="480" w:firstLineChars="200"/>
        <w:jc w:val="left"/>
        <w:rPr>
          <w:rFonts w:ascii="宋体" w:hAnsi="宋体" w:eastAsia="宋体"/>
          <w:sz w:val="24"/>
        </w:rPr>
      </w:pPr>
      <w:r>
        <w:rPr>
          <w:rFonts w:hint="eastAsia" w:ascii="宋体" w:hAnsi="宋体" w:eastAsia="宋体"/>
          <w:sz w:val="24"/>
        </w:rPr>
        <w:t>日    期：XXXX。</w:t>
      </w:r>
    </w:p>
    <w:p>
      <w:pPr>
        <w:widowControl/>
        <w:spacing w:line="360" w:lineRule="atLeast"/>
        <w:jc w:val="left"/>
        <w:rPr>
          <w:rFonts w:ascii="宋体" w:hAnsi="宋体" w:eastAsia="宋体"/>
          <w:b/>
          <w:sz w:val="24"/>
        </w:rPr>
      </w:pPr>
      <w:r>
        <w:rPr>
          <w:rFonts w:ascii="宋体" w:hAnsi="宋体" w:eastAsia="宋体"/>
        </w:rPr>
        <mc:AlternateContent>
          <mc:Choice Requires="wps">
            <w:drawing>
              <wp:anchor distT="0" distB="0" distL="114300" distR="114300" simplePos="0" relativeHeight="251660288" behindDoc="0" locked="0" layoutInCell="1" allowOverlap="1">
                <wp:simplePos x="0" y="0"/>
                <wp:positionH relativeFrom="column">
                  <wp:posOffset>2852420</wp:posOffset>
                </wp:positionH>
                <wp:positionV relativeFrom="paragraph">
                  <wp:posOffset>203835</wp:posOffset>
                </wp:positionV>
                <wp:extent cx="2397125" cy="1630045"/>
                <wp:effectExtent l="5080" t="4445" r="17145" b="22860"/>
                <wp:wrapTight wrapText="bothSides">
                  <wp:wrapPolygon>
                    <wp:start x="-46" y="-59"/>
                    <wp:lineTo x="-46" y="21398"/>
                    <wp:lineTo x="21411" y="21398"/>
                    <wp:lineTo x="21411" y="-59"/>
                    <wp:lineTo x="-46" y="-59"/>
                  </wp:wrapPolygon>
                </wp:wrapTight>
                <wp:docPr id="41" name="文本框 41"/>
                <wp:cNvGraphicFramePr/>
                <a:graphic xmlns:a="http://schemas.openxmlformats.org/drawingml/2006/main">
                  <a:graphicData uri="http://schemas.microsoft.com/office/word/2010/wordprocessingShape">
                    <wps:wsp>
                      <wps:cNvSpPr txBox="1"/>
                      <wps:spPr>
                        <a:xfrm>
                          <a:off x="0" y="0"/>
                          <a:ext cx="2397125" cy="1630045"/>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224.6pt;margin-top:16.05pt;height:128.35pt;width:188.75pt;mso-wrap-distance-left:9pt;mso-wrap-distance-right:9pt;z-index:251660288;mso-width-relative:page;mso-height-relative:page;" fillcolor="#FFFFFF" filled="t" stroked="t" coordsize="21600,21600" wrapcoords="-46 -59 -46 21398 21411 21398 21411 -59 -46 -59" o:gfxdata="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kvoFtgAAAAKAQAADwAAAAAAAAABACAA&#10;AAAiAAAAZHJzL2Rvd25yZXYueG1sUEsBAhQAFAAAAAgAh07iQHKuu4INAgAAOAQAAA4AAAAAAAAA&#10;AQAgAAAAJwEAAGRycy9lMm9Eb2MueG1sUEsFBgAAAAAGAAYAWQEAAKYFA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r>
        <w:rPr>
          <w:rFonts w:ascii="宋体" w:hAnsi="宋体" w:eastAsia="宋体"/>
        </w:rPr>
        <mc:AlternateContent>
          <mc:Choice Requires="wps">
            <w:drawing>
              <wp:anchor distT="0" distB="0" distL="114300" distR="114300" simplePos="0" relativeHeight="251659264" behindDoc="1" locked="0" layoutInCell="1" allowOverlap="1">
                <wp:simplePos x="0" y="0"/>
                <wp:positionH relativeFrom="column">
                  <wp:posOffset>135890</wp:posOffset>
                </wp:positionH>
                <wp:positionV relativeFrom="paragraph">
                  <wp:posOffset>184785</wp:posOffset>
                </wp:positionV>
                <wp:extent cx="2256790" cy="1638300"/>
                <wp:effectExtent l="4445" t="4445" r="5715" b="14605"/>
                <wp:wrapTight wrapText="bothSides">
                  <wp:wrapPolygon>
                    <wp:start x="-43" y="-59"/>
                    <wp:lineTo x="-43" y="21541"/>
                    <wp:lineTo x="21472" y="21541"/>
                    <wp:lineTo x="21472" y="-59"/>
                    <wp:lineTo x="-43" y="-59"/>
                  </wp:wrapPolygon>
                </wp:wrapTight>
                <wp:docPr id="38" name="文本框 38"/>
                <wp:cNvGraphicFramePr/>
                <a:graphic xmlns:a="http://schemas.openxmlformats.org/drawingml/2006/main">
                  <a:graphicData uri="http://schemas.microsoft.com/office/word/2010/wordprocessingShape">
                    <wps:wsp>
                      <wps:cNvSpPr txBox="1"/>
                      <wps:spPr>
                        <a:xfrm>
                          <a:off x="0" y="0"/>
                          <a:ext cx="2256790" cy="1638300"/>
                        </a:xfrm>
                        <a:prstGeom prst="rect">
                          <a:avLst/>
                        </a:prstGeom>
                        <a:solidFill>
                          <a:srgbClr val="FFFFFF"/>
                        </a:solidFill>
                        <a:ln w="9525" cap="flat" cmpd="sng">
                          <a:solidFill>
                            <a:srgbClr val="000000"/>
                          </a:solidFill>
                          <a:prstDash val="dash"/>
                          <a:miter/>
                          <a:headEnd type="none" w="med" len="med"/>
                          <a:tailEnd type="none" w="med" len="med"/>
                        </a:ln>
                      </wps:spPr>
                      <wps:txb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wps:txbx>
                      <wps:bodyPr upright="1"/>
                    </wps:wsp>
                  </a:graphicData>
                </a:graphic>
              </wp:anchor>
            </w:drawing>
          </mc:Choice>
          <mc:Fallback>
            <w:pict>
              <v:shape id="_x0000_s1026" o:spid="_x0000_s1026" o:spt="202" type="#_x0000_t202" style="position:absolute;left:0pt;margin-left:10.7pt;margin-top:14.55pt;height:129pt;width:177.7pt;mso-wrap-distance-left:9pt;mso-wrap-distance-right:9pt;z-index:-251657216;mso-width-relative:page;mso-height-relative:page;" fillcolor="#FFFFFF" filled="t" stroked="t" coordsize="21600,21600" wrapcoords="-43 -59 -43 21541 21472 21541 21472 -59 -43 -59" o:gfxdata="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5zRyLXAAAACQEAAA8AAAAAAAAAAQAg&#10;AAAAIgAAAGRycy9kb3ducmV2LnhtbFBLAQIUABQAAAAIAIdO4kAXlW0yDwIAADgEAAAOAAAAAAAA&#10;AAEAIAAAACYBAABkcnMvZTJvRG9jLnhtbFBLBQYAAAAABgAGAFkBAACnBQAAAAA=&#10;">
                <v:fill on="t" focussize="0,0"/>
                <v:stroke color="#000000" joinstyle="miter" dashstyle="dash"/>
                <v:imagedata o:title=""/>
                <o:lock v:ext="edit" aspectratio="f"/>
                <v:textbox>
                  <w:txbxContent>
                    <w:p/>
                    <w:p>
                      <w:pPr>
                        <w:jc w:val="center"/>
                        <w:rPr>
                          <w:rFonts w:ascii="仿宋" w:hAnsi="仿宋" w:eastAsia="仿宋" w:cs="仿宋"/>
                          <w:b/>
                          <w:bCs/>
                          <w:sz w:val="32"/>
                          <w:szCs w:val="36"/>
                        </w:rPr>
                      </w:pPr>
                    </w:p>
                    <w:p>
                      <w:pPr>
                        <w:jc w:val="center"/>
                        <w:rPr>
                          <w:rFonts w:ascii="仿宋" w:hAnsi="仿宋" w:eastAsia="仿宋" w:cs="仿宋"/>
                          <w:b/>
                          <w:bCs/>
                          <w:sz w:val="32"/>
                          <w:szCs w:val="36"/>
                        </w:rPr>
                      </w:pPr>
                      <w:r>
                        <w:rPr>
                          <w:rFonts w:hint="eastAsia" w:ascii="仿宋" w:hAnsi="仿宋" w:eastAsia="仿宋" w:cs="仿宋"/>
                          <w:b/>
                          <w:bCs/>
                          <w:sz w:val="32"/>
                          <w:szCs w:val="36"/>
                        </w:rPr>
                        <w:t>身份证复印件</w:t>
                      </w:r>
                    </w:p>
                  </w:txbxContent>
                </v:textbox>
                <w10:wrap type="tight"/>
              </v:shape>
            </w:pict>
          </mc:Fallback>
        </mc:AlternateContent>
      </w: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widowControl/>
        <w:spacing w:line="360" w:lineRule="atLeast"/>
        <w:jc w:val="left"/>
        <w:rPr>
          <w:rFonts w:ascii="宋体" w:hAnsi="宋体" w:eastAsia="宋体"/>
          <w:b/>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400" w:lineRule="exact"/>
        <w:ind w:firstLine="480" w:firstLineChars="200"/>
        <w:rPr>
          <w:rFonts w:ascii="宋体" w:hAnsi="宋体" w:eastAsia="宋体"/>
          <w:sz w:val="24"/>
        </w:rPr>
      </w:pPr>
    </w:p>
    <w:p>
      <w:pPr>
        <w:spacing w:line="540" w:lineRule="exact"/>
        <w:ind w:firstLine="480" w:firstLineChars="200"/>
        <w:rPr>
          <w:rFonts w:ascii="宋体" w:hAnsi="宋体" w:eastAsia="宋体"/>
          <w:sz w:val="24"/>
        </w:rPr>
      </w:pPr>
      <w:r>
        <w:rPr>
          <w:rFonts w:hint="eastAsia" w:ascii="宋体" w:hAnsi="宋体" w:eastAsia="宋体"/>
          <w:sz w:val="24"/>
        </w:rPr>
        <w:t>注：</w:t>
      </w:r>
    </w:p>
    <w:p>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1.非法人单位提供单位负责人授权书。 </w:t>
      </w:r>
    </w:p>
    <w:p>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2.须附法定代表人/单位负责人和授权代表身份证复印件（身份证两面均应复印），否则无效。 </w:t>
      </w:r>
    </w:p>
    <w:p>
      <w:pPr>
        <w:widowControl/>
        <w:spacing w:line="540" w:lineRule="exact"/>
        <w:ind w:firstLine="470" w:firstLineChars="196"/>
        <w:jc w:val="left"/>
        <w:rPr>
          <w:rFonts w:ascii="宋体" w:hAnsi="宋体" w:eastAsia="宋体"/>
          <w:sz w:val="24"/>
        </w:rPr>
      </w:pPr>
      <w:r>
        <w:rPr>
          <w:rFonts w:hint="eastAsia" w:ascii="宋体" w:hAnsi="宋体" w:eastAsia="宋体"/>
          <w:sz w:val="24"/>
        </w:rPr>
        <w:t xml:space="preserve">3.法定代表人/单位负责人参与比选时只须提供法定代表人/单位负责人身份证复印件。 </w:t>
      </w:r>
    </w:p>
    <w:p>
      <w:pPr>
        <w:spacing w:line="540" w:lineRule="exact"/>
        <w:ind w:firstLine="480" w:firstLineChars="200"/>
        <w:rPr>
          <w:rFonts w:ascii="宋体" w:hAnsi="宋体" w:eastAsia="宋体"/>
        </w:rPr>
        <w:sectPr>
          <w:headerReference r:id="rId3" w:type="default"/>
          <w:footerReference r:id="rId4" w:type="default"/>
          <w:pgSz w:w="11906" w:h="16838"/>
          <w:pgMar w:top="1440" w:right="1474" w:bottom="1440" w:left="1474" w:header="567" w:footer="992" w:gutter="0"/>
          <w:pgNumType w:start="1"/>
          <w:cols w:space="0" w:num="1"/>
          <w:docGrid w:type="lines" w:linePitch="312" w:charSpace="0"/>
        </w:sectPr>
      </w:pPr>
      <w:r>
        <w:rPr>
          <w:rFonts w:hint="eastAsia" w:ascii="宋体" w:hAnsi="宋体" w:eastAsia="宋体"/>
          <w:sz w:val="24"/>
        </w:rPr>
        <w:t>4.申请人的法定代表人/单位负责人为外籍人士的，则提供护照复印件。</w:t>
      </w:r>
    </w:p>
    <w:p>
      <w:pPr>
        <w:pStyle w:val="3"/>
        <w:spacing w:before="0" w:after="0" w:line="400" w:lineRule="exact"/>
        <w:jc w:val="center"/>
        <w:rPr>
          <w:rFonts w:ascii="宋体" w:hAnsi="宋体" w:eastAsia="宋体"/>
          <w:sz w:val="32"/>
        </w:rPr>
      </w:pPr>
      <w:r>
        <w:rPr>
          <w:rFonts w:hint="eastAsia" w:ascii="宋体" w:hAnsi="宋体" w:eastAsia="宋体"/>
          <w:sz w:val="32"/>
        </w:rPr>
        <w:t>三、承诺函</w:t>
      </w:r>
    </w:p>
    <w:p>
      <w:pPr>
        <w:widowControl/>
        <w:spacing w:line="530" w:lineRule="exact"/>
        <w:jc w:val="left"/>
        <w:rPr>
          <w:rFonts w:ascii="宋体" w:hAnsi="宋体" w:eastAsia="宋体"/>
          <w:sz w:val="24"/>
        </w:rPr>
      </w:pPr>
      <w:r>
        <w:rPr>
          <w:rFonts w:hint="eastAsia" w:ascii="宋体" w:hAnsi="宋体" w:eastAsia="宋体"/>
          <w:sz w:val="24"/>
        </w:rPr>
        <w:t>四川铁道职业学院：</w:t>
      </w:r>
    </w:p>
    <w:p>
      <w:pPr>
        <w:spacing w:line="530" w:lineRule="exact"/>
        <w:ind w:firstLine="480" w:firstLineChars="200"/>
        <w:jc w:val="left"/>
        <w:rPr>
          <w:rFonts w:ascii="宋体" w:hAnsi="宋体" w:eastAsia="宋体"/>
          <w:sz w:val="24"/>
        </w:rPr>
      </w:pPr>
      <w:r>
        <w:rPr>
          <w:rFonts w:hint="eastAsia" w:ascii="宋体" w:hAnsi="宋体" w:eastAsia="宋体"/>
          <w:sz w:val="24"/>
        </w:rPr>
        <w:t>我方全面研究了“项目名称1”比选文件（项目编号：系统生成），决定参加贵单位组织的本项目比选采购。</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1.具备《中华人民共和国政府采购法》第二十二条规定的条件：</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（1）具有独立承担民事责任的能力；</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（2）具有良好的商业信誉和健全的财务会计制度；</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（3）具有履行合同所必需的设备和专业技术能力；</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（4）有依法缴纳税收和社会保障资金的良好记录；</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（5）参加采购活动前三年内，在经营活动中没有重大违法记录；</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（6）法律、行政法规规定的其他条件；</w:t>
      </w:r>
    </w:p>
    <w:p>
      <w:pPr>
        <w:widowControl/>
        <w:spacing w:line="530" w:lineRule="exact"/>
        <w:ind w:firstLine="480" w:firstLineChars="200"/>
        <w:jc w:val="left"/>
        <w:rPr>
          <w:rFonts w:ascii="宋体" w:hAnsi="宋体" w:eastAsia="宋体"/>
        </w:rPr>
      </w:pPr>
      <w:r>
        <w:rPr>
          <w:rFonts w:hint="eastAsia" w:ascii="宋体" w:hAnsi="宋体" w:eastAsia="宋体"/>
          <w:sz w:val="24"/>
        </w:rPr>
        <w:t>（7）根据采购项目提出的特殊条件</w:t>
      </w:r>
      <w:r>
        <w:rPr>
          <w:rFonts w:ascii="宋体" w:hAnsi="宋体" w:eastAsia="宋体"/>
          <w:sz w:val="24"/>
        </w:rPr>
        <w:t>。</w:t>
      </w:r>
    </w:p>
    <w:p>
      <w:pPr>
        <w:spacing w:line="530" w:lineRule="exact"/>
        <w:ind w:firstLine="482" w:firstLineChars="200"/>
        <w:jc w:val="left"/>
        <w:rPr>
          <w:rFonts w:ascii="宋体" w:hAnsi="宋体" w:eastAsia="宋体"/>
          <w:b/>
          <w:bCs/>
          <w:sz w:val="24"/>
        </w:rPr>
      </w:pPr>
      <w:r>
        <w:rPr>
          <w:rFonts w:hint="eastAsia" w:ascii="宋体" w:hAnsi="宋体" w:eastAsia="宋体"/>
          <w:b/>
          <w:bCs/>
          <w:sz w:val="24"/>
        </w:rPr>
        <w:t>2.我方已认真阅读并接受本项目比选文件的全部实质性要求，如对比选文件有异议，已依法进行维权救济，不存在对比选文件有异议的同时又参加比选以求侥幸成交或者为实现其他非法目的的行为。若提起质疑，我方承诺将在一次性提出。且在质疑内容中提供对应的证明材料。</w:t>
      </w:r>
    </w:p>
    <w:p>
      <w:pPr>
        <w:spacing w:line="530" w:lineRule="exact"/>
        <w:ind w:firstLine="480" w:firstLineChars="200"/>
        <w:jc w:val="left"/>
        <w:rPr>
          <w:rFonts w:ascii="宋体" w:hAnsi="宋体" w:eastAsia="宋体"/>
          <w:sz w:val="24"/>
        </w:rPr>
      </w:pPr>
      <w:r>
        <w:rPr>
          <w:rFonts w:hint="eastAsia" w:ascii="宋体" w:hAnsi="宋体" w:eastAsia="宋体"/>
          <w:sz w:val="24"/>
        </w:rPr>
        <w:t>3.在参加本次采购活动中，不存在与单位负责人为同一人或者存在直接控股、管理关系的其他申请人参与同一合同项下的采购活动的行为。</w:t>
      </w:r>
    </w:p>
    <w:p>
      <w:pPr>
        <w:spacing w:line="530" w:lineRule="exact"/>
        <w:ind w:firstLine="480" w:firstLineChars="200"/>
        <w:jc w:val="left"/>
        <w:rPr>
          <w:rFonts w:ascii="宋体" w:hAnsi="宋体" w:eastAsia="宋体"/>
          <w:sz w:val="24"/>
        </w:rPr>
      </w:pPr>
      <w:r>
        <w:rPr>
          <w:rFonts w:hint="eastAsia" w:ascii="宋体" w:hAnsi="宋体" w:eastAsia="宋体"/>
          <w:sz w:val="24"/>
        </w:rPr>
        <w:t>4.为采购项目提供整体设计、规范编制或者项目管理、监理、检测等服务的申请人，不得再参加该采购项目的其他采购活动，我方承诺不属于此类禁止参加本项目的申请人。</w:t>
      </w:r>
    </w:p>
    <w:p>
      <w:pPr>
        <w:spacing w:line="530" w:lineRule="exact"/>
        <w:ind w:firstLine="480" w:firstLineChars="200"/>
        <w:jc w:val="left"/>
        <w:rPr>
          <w:rFonts w:ascii="宋体" w:hAnsi="宋体" w:eastAsia="宋体"/>
          <w:sz w:val="24"/>
        </w:rPr>
      </w:pPr>
      <w:r>
        <w:rPr>
          <w:rFonts w:hint="eastAsia" w:ascii="宋体" w:hAnsi="宋体" w:eastAsia="宋体"/>
          <w:sz w:val="24"/>
        </w:rPr>
        <w:t>5.在参加本次采购活动中，不存在和其他申请人在同一合同项下的采购项目中，同时委托同一个自然人、同一家庭的人员、同一单位的人员作为代理人的行为。</w:t>
      </w:r>
    </w:p>
    <w:p>
      <w:pPr>
        <w:spacing w:line="530" w:lineRule="exact"/>
        <w:ind w:firstLine="480" w:firstLineChars="200"/>
        <w:jc w:val="left"/>
        <w:rPr>
          <w:rFonts w:ascii="宋体" w:hAnsi="宋体" w:eastAsia="宋体"/>
          <w:sz w:val="24"/>
        </w:rPr>
      </w:pPr>
      <w:r>
        <w:rPr>
          <w:rFonts w:hint="eastAsia" w:ascii="宋体" w:hAnsi="宋体" w:eastAsia="宋体"/>
          <w:sz w:val="24"/>
        </w:rPr>
        <w:t>6.我方实际控制人或者中高级管理人员，不存在同时是比选人工作人员的情形。</w:t>
      </w:r>
    </w:p>
    <w:p>
      <w:pPr>
        <w:spacing w:line="530" w:lineRule="exact"/>
        <w:ind w:firstLine="480" w:firstLineChars="200"/>
        <w:jc w:val="left"/>
        <w:rPr>
          <w:rFonts w:ascii="宋体" w:hAnsi="宋体" w:eastAsia="宋体"/>
          <w:sz w:val="24"/>
        </w:rPr>
      </w:pPr>
      <w:r>
        <w:rPr>
          <w:rFonts w:hint="eastAsia" w:ascii="宋体" w:hAnsi="宋体" w:eastAsia="宋体"/>
          <w:sz w:val="24"/>
        </w:rPr>
        <w:t>7.不存在同一母学校的两家以上的子学校，以不同申请人身份同时参加本项目同一合同项下的采购活动的情形。</w:t>
      </w:r>
    </w:p>
    <w:p>
      <w:pPr>
        <w:spacing w:line="530" w:lineRule="exact"/>
        <w:ind w:firstLine="480" w:firstLineChars="200"/>
        <w:jc w:val="left"/>
        <w:rPr>
          <w:rFonts w:ascii="宋体" w:hAnsi="宋体" w:eastAsia="宋体"/>
          <w:sz w:val="24"/>
        </w:rPr>
      </w:pPr>
      <w:r>
        <w:rPr>
          <w:rFonts w:hint="eastAsia" w:ascii="宋体" w:hAnsi="宋体" w:eastAsia="宋体"/>
          <w:sz w:val="24"/>
        </w:rPr>
        <w:t>8.我方与比选人不存在关联关系，也不是比选人的母学校或子学校。</w:t>
      </w:r>
    </w:p>
    <w:p>
      <w:pPr>
        <w:spacing w:line="530" w:lineRule="exact"/>
        <w:ind w:firstLine="480" w:firstLineChars="200"/>
        <w:jc w:val="left"/>
        <w:rPr>
          <w:rFonts w:ascii="宋体" w:hAnsi="宋体" w:eastAsia="宋体"/>
          <w:sz w:val="24"/>
        </w:rPr>
      </w:pPr>
      <w:r>
        <w:rPr>
          <w:rFonts w:hint="eastAsia" w:ascii="宋体" w:hAnsi="宋体" w:eastAsia="宋体"/>
          <w:sz w:val="24"/>
        </w:rPr>
        <w:t>9.比选申请文件中提供的任何资料和技术、服务、商务等响应承诺情况都是真实的、有效的、合法的。</w:t>
      </w:r>
    </w:p>
    <w:p>
      <w:pPr>
        <w:spacing w:line="530" w:lineRule="exact"/>
        <w:ind w:firstLine="480" w:firstLineChars="200"/>
        <w:jc w:val="left"/>
        <w:rPr>
          <w:rFonts w:ascii="宋体" w:hAnsi="宋体" w:eastAsia="宋体"/>
          <w:sz w:val="24"/>
        </w:rPr>
      </w:pPr>
      <w:r>
        <w:rPr>
          <w:rFonts w:hint="eastAsia" w:ascii="宋体" w:hAnsi="宋体" w:eastAsia="宋体"/>
          <w:sz w:val="24"/>
        </w:rPr>
        <w:t>10.如本项目比选采购过程中需要提供样品，则我方提供的样品即为成交后将要提供的成交产品，我方对提供样品的性能和质量负责，因样品存在缺陷或者不符合比选文件要求导致未能成交的，我方愿意承担相应不利后果。</w:t>
      </w:r>
    </w:p>
    <w:p>
      <w:pPr>
        <w:spacing w:line="530" w:lineRule="exact"/>
        <w:ind w:firstLine="480" w:firstLineChars="200"/>
        <w:jc w:val="left"/>
        <w:rPr>
          <w:rFonts w:ascii="宋体" w:hAnsi="宋体" w:eastAsia="宋体"/>
          <w:sz w:val="24"/>
        </w:rPr>
      </w:pPr>
      <w:r>
        <w:rPr>
          <w:rFonts w:hint="eastAsia" w:ascii="宋体" w:hAnsi="宋体" w:eastAsia="宋体"/>
          <w:sz w:val="24"/>
        </w:rPr>
        <w:t>11.国家或行业主管部门对采购产品的技术标准、质量标准和资格资质条件等有强制性规定的，我方承诺符合其要求。</w:t>
      </w:r>
    </w:p>
    <w:p>
      <w:pPr>
        <w:spacing w:line="530" w:lineRule="exact"/>
        <w:ind w:firstLine="480" w:firstLineChars="200"/>
        <w:jc w:val="left"/>
        <w:rPr>
          <w:rFonts w:ascii="宋体" w:hAnsi="宋体" w:eastAsia="宋体"/>
          <w:sz w:val="24"/>
        </w:rPr>
      </w:pPr>
      <w:r>
        <w:rPr>
          <w:rFonts w:hint="eastAsia" w:ascii="宋体" w:hAnsi="宋体" w:eastAsia="宋体"/>
          <w:sz w:val="24"/>
        </w:rPr>
        <w:t>12.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比选人享有本项目实施过程中产生的知识成果及知识产权。如我方在采购项目实施过程中采用自有或者第三方知识成果的，使用该知识成果后，我方承诺提供开发接口和开发手册等技术资料，并提供无限期支持，比选人享有使用权（含比选人委托第三方在该项目后续开发的使用权）。如我方在项目实施过程中采用非自有的知识产权，则在报价中已包括合法获取该知识产权的相关费用。</w:t>
      </w:r>
    </w:p>
    <w:p>
      <w:pPr>
        <w:spacing w:line="530" w:lineRule="exact"/>
        <w:ind w:firstLine="480" w:firstLineChars="200"/>
        <w:jc w:val="left"/>
        <w:rPr>
          <w:rFonts w:ascii="宋体" w:hAnsi="宋体" w:eastAsia="宋体"/>
          <w:sz w:val="24"/>
        </w:rPr>
      </w:pPr>
      <w:r>
        <w:rPr>
          <w:rFonts w:hint="eastAsia" w:ascii="宋体" w:hAnsi="宋体" w:eastAsia="宋体"/>
          <w:sz w:val="24"/>
        </w:rPr>
        <w:t>13.我方自愿按照比选文件规定的各项要求向比选人提供所需货物和服务。</w:t>
      </w:r>
    </w:p>
    <w:p>
      <w:pPr>
        <w:spacing w:line="530" w:lineRule="exact"/>
        <w:ind w:firstLine="480" w:firstLineChars="200"/>
        <w:jc w:val="left"/>
        <w:rPr>
          <w:rFonts w:ascii="宋体" w:hAnsi="宋体" w:eastAsia="宋体"/>
          <w:sz w:val="24"/>
        </w:rPr>
      </w:pPr>
      <w:r>
        <w:rPr>
          <w:rFonts w:hint="eastAsia" w:ascii="宋体" w:hAnsi="宋体" w:eastAsia="宋体"/>
          <w:sz w:val="24"/>
        </w:rPr>
        <w:t>14.一旦我方成交，我方将严格履行采购合同规定的责任和义务。</w:t>
      </w:r>
    </w:p>
    <w:p>
      <w:pPr>
        <w:spacing w:line="530" w:lineRule="exact"/>
        <w:ind w:firstLine="480" w:firstLineChars="200"/>
        <w:jc w:val="left"/>
        <w:rPr>
          <w:rFonts w:ascii="宋体" w:hAnsi="宋体" w:eastAsia="宋体"/>
          <w:sz w:val="24"/>
        </w:rPr>
      </w:pPr>
      <w:r>
        <w:rPr>
          <w:rFonts w:hint="eastAsia" w:ascii="宋体" w:hAnsi="宋体" w:eastAsia="宋体"/>
          <w:sz w:val="24"/>
        </w:rPr>
        <w:t>15.我方愿意提供贵单位可能另外要求的，与比选报价有关的文件资料，并保证我方已提供和将要提供的文件资料是真实、准确的。</w:t>
      </w:r>
    </w:p>
    <w:p>
      <w:pPr>
        <w:spacing w:line="530" w:lineRule="exact"/>
        <w:ind w:firstLine="480" w:firstLineChars="200"/>
        <w:jc w:val="left"/>
        <w:rPr>
          <w:rFonts w:ascii="宋体" w:hAnsi="宋体" w:eastAsia="宋体"/>
          <w:sz w:val="24"/>
        </w:rPr>
      </w:pPr>
      <w:r>
        <w:rPr>
          <w:rFonts w:hint="eastAsia" w:ascii="宋体" w:hAnsi="宋体" w:eastAsia="宋体"/>
          <w:sz w:val="24"/>
        </w:rPr>
        <w:t>16.我方接受比选人按照采购合同约定金额支付采购资金，报价以比选申请文件为准。</w:t>
      </w:r>
    </w:p>
    <w:p>
      <w:pPr>
        <w:widowControl/>
        <w:spacing w:line="530" w:lineRule="exact"/>
        <w:ind w:firstLine="480" w:firstLineChars="200"/>
        <w:jc w:val="left"/>
        <w:rPr>
          <w:rFonts w:ascii="宋体" w:hAnsi="宋体" w:eastAsia="宋体"/>
          <w:sz w:val="24"/>
        </w:rPr>
      </w:pPr>
      <w:r>
        <w:rPr>
          <w:rFonts w:hint="eastAsia" w:ascii="宋体" w:hAnsi="宋体" w:eastAsia="宋体"/>
          <w:sz w:val="24"/>
        </w:rPr>
        <w:t>本单位对上述承诺的内容事项真实性负责。如经查实上述承诺的内容事项存在虚假，我单位愿意接受以提供虚假材料谋取成交追究法律责任。</w:t>
      </w:r>
    </w:p>
    <w:p>
      <w:pPr>
        <w:pStyle w:val="5"/>
        <w:spacing w:line="530" w:lineRule="exact"/>
        <w:ind w:left="0" w:leftChars="0"/>
        <w:rPr>
          <w:rFonts w:ascii="宋体" w:hAnsi="宋体" w:eastAsia="宋体"/>
        </w:rPr>
      </w:pPr>
    </w:p>
    <w:p>
      <w:pPr>
        <w:widowControl/>
        <w:spacing w:line="530" w:lineRule="exact"/>
        <w:ind w:firstLine="470" w:firstLineChars="196"/>
        <w:jc w:val="left"/>
        <w:rPr>
          <w:rFonts w:ascii="宋体" w:hAnsi="宋体" w:eastAsia="宋体"/>
          <w:sz w:val="24"/>
        </w:rPr>
      </w:pPr>
      <w:r>
        <w:rPr>
          <w:rFonts w:hint="eastAsia" w:ascii="宋体" w:hAnsi="宋体" w:eastAsia="宋体"/>
          <w:sz w:val="24"/>
        </w:rPr>
        <w:t>申请人名称：XXXX（单位公章）</w:t>
      </w:r>
    </w:p>
    <w:p>
      <w:pPr>
        <w:widowControl/>
        <w:spacing w:line="530" w:lineRule="exact"/>
        <w:ind w:firstLine="470" w:firstLineChars="196"/>
        <w:jc w:val="left"/>
        <w:rPr>
          <w:rFonts w:ascii="宋体" w:hAnsi="宋体" w:eastAsia="宋体"/>
          <w:sz w:val="24"/>
        </w:rPr>
      </w:pPr>
      <w:r>
        <w:rPr>
          <w:rFonts w:hint="eastAsia" w:ascii="宋体" w:hAnsi="宋体" w:eastAsia="宋体"/>
          <w:sz w:val="24"/>
        </w:rPr>
        <w:t>法定代表人/单位负责人或授权代表（签字或加盖个人印章）：XXXX。</w:t>
      </w:r>
    </w:p>
    <w:p>
      <w:pPr>
        <w:widowControl/>
        <w:spacing w:line="530" w:lineRule="exact"/>
        <w:ind w:firstLine="470" w:firstLineChars="196"/>
        <w:jc w:val="left"/>
        <w:rPr>
          <w:rFonts w:ascii="宋体" w:hAnsi="宋体" w:eastAsia="宋体"/>
          <w:sz w:val="24"/>
        </w:rPr>
      </w:pPr>
      <w:r>
        <w:rPr>
          <w:rFonts w:hint="eastAsia" w:ascii="宋体" w:hAnsi="宋体" w:eastAsia="宋体"/>
          <w:sz w:val="24"/>
        </w:rPr>
        <w:t>日    期：XXXX。</w:t>
      </w:r>
    </w:p>
    <w:p>
      <w:pPr>
        <w:spacing w:line="530" w:lineRule="exact"/>
        <w:rPr>
          <w:rFonts w:ascii="宋体" w:hAnsi="宋体" w:eastAsia="宋体"/>
        </w:rPr>
      </w:pPr>
      <w:r>
        <w:rPr>
          <w:rFonts w:ascii="宋体" w:hAnsi="宋体" w:eastAsia="宋体"/>
        </w:rPr>
        <w:br w:type="page"/>
      </w:r>
    </w:p>
    <w:p>
      <w:pPr>
        <w:pStyle w:val="3"/>
        <w:spacing w:before="0" w:after="0" w:line="400" w:lineRule="exact"/>
        <w:jc w:val="center"/>
        <w:rPr>
          <w:rFonts w:ascii="宋体" w:hAnsi="宋体" w:eastAsia="宋体"/>
          <w:sz w:val="32"/>
        </w:rPr>
      </w:pPr>
      <w:bookmarkStart w:id="28" w:name="_Toc217446088"/>
      <w:r>
        <w:rPr>
          <w:rFonts w:hint="eastAsia" w:ascii="宋体" w:hAnsi="宋体" w:eastAsia="宋体"/>
          <w:sz w:val="32"/>
        </w:rPr>
        <w:t>四、申请人基本情况表</w:t>
      </w:r>
      <w:bookmarkEnd w:id="28"/>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11"/>
        <w:gridCol w:w="214"/>
        <w:gridCol w:w="992"/>
        <w:gridCol w:w="1255"/>
        <w:gridCol w:w="7"/>
        <w:gridCol w:w="1325"/>
        <w:gridCol w:w="161"/>
        <w:gridCol w:w="101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申请人名称</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注册地址</w:t>
            </w:r>
          </w:p>
        </w:tc>
        <w:tc>
          <w:tcPr>
            <w:tcW w:w="3179" w:type="dxa"/>
            <w:gridSpan w:val="5"/>
            <w:vAlign w:val="center"/>
          </w:tcPr>
          <w:p>
            <w:pPr>
              <w:autoSpaceDE w:val="0"/>
              <w:autoSpaceDN w:val="0"/>
              <w:adjustRightInd w:val="0"/>
              <w:jc w:val="center"/>
              <w:rPr>
                <w:rFonts w:ascii="宋体" w:hAnsi="宋体" w:eastAsia="宋体"/>
                <w:szCs w:val="21"/>
              </w:rPr>
            </w:pPr>
          </w:p>
        </w:tc>
        <w:tc>
          <w:tcPr>
            <w:tcW w:w="132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邮政编码</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联系方式</w:t>
            </w: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联系人</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1764" w:type="dxa"/>
            <w:vMerge w:val="continue"/>
            <w:vAlign w:val="center"/>
          </w:tcPr>
          <w:p>
            <w:pPr>
              <w:autoSpaceDE w:val="0"/>
              <w:autoSpaceDN w:val="0"/>
              <w:adjustRightInd w:val="0"/>
              <w:jc w:val="center"/>
              <w:rPr>
                <w:rFonts w:ascii="宋体" w:hAnsi="宋体" w:eastAsia="宋体"/>
                <w:szCs w:val="21"/>
              </w:rPr>
            </w:pPr>
          </w:p>
        </w:tc>
        <w:tc>
          <w:tcPr>
            <w:tcW w:w="925"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传真</w:t>
            </w:r>
          </w:p>
        </w:tc>
        <w:tc>
          <w:tcPr>
            <w:tcW w:w="2247" w:type="dxa"/>
            <w:gridSpan w:val="2"/>
            <w:vAlign w:val="center"/>
          </w:tcPr>
          <w:p>
            <w:pPr>
              <w:autoSpaceDE w:val="0"/>
              <w:autoSpaceDN w:val="0"/>
              <w:adjustRightInd w:val="0"/>
              <w:jc w:val="center"/>
              <w:rPr>
                <w:rFonts w:ascii="宋体" w:hAnsi="宋体" w:eastAsia="宋体"/>
                <w:szCs w:val="21"/>
              </w:rPr>
            </w:pPr>
          </w:p>
        </w:tc>
        <w:tc>
          <w:tcPr>
            <w:tcW w:w="1332"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网址</w:t>
            </w:r>
          </w:p>
        </w:tc>
        <w:tc>
          <w:tcPr>
            <w:tcW w:w="2254" w:type="dxa"/>
            <w:gridSpan w:val="3"/>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组织结构</w:t>
            </w:r>
          </w:p>
        </w:tc>
        <w:tc>
          <w:tcPr>
            <w:tcW w:w="6758" w:type="dxa"/>
            <w:gridSpan w:val="9"/>
            <w:vAlign w:val="center"/>
          </w:tcPr>
          <w:p>
            <w:pPr>
              <w:autoSpaceDE w:val="0"/>
              <w:autoSpaceDN w:val="0"/>
              <w:adjustRightIn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法定代表人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技术负责人</w:t>
            </w:r>
          </w:p>
        </w:tc>
        <w:tc>
          <w:tcPr>
            <w:tcW w:w="711"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姓名</w:t>
            </w:r>
          </w:p>
        </w:tc>
        <w:tc>
          <w:tcPr>
            <w:tcW w:w="1206" w:type="dxa"/>
            <w:gridSpan w:val="2"/>
            <w:vAlign w:val="center"/>
          </w:tcPr>
          <w:p>
            <w:pPr>
              <w:autoSpaceDE w:val="0"/>
              <w:autoSpaceDN w:val="0"/>
              <w:adjustRightInd w:val="0"/>
              <w:jc w:val="center"/>
              <w:rPr>
                <w:rFonts w:ascii="宋体" w:hAnsi="宋体" w:eastAsia="宋体"/>
                <w:szCs w:val="21"/>
              </w:rPr>
            </w:pPr>
          </w:p>
        </w:tc>
        <w:tc>
          <w:tcPr>
            <w:tcW w:w="1255"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技术职称</w:t>
            </w:r>
          </w:p>
        </w:tc>
        <w:tc>
          <w:tcPr>
            <w:tcW w:w="1332" w:type="dxa"/>
            <w:gridSpan w:val="2"/>
            <w:vAlign w:val="center"/>
          </w:tcPr>
          <w:p>
            <w:pPr>
              <w:autoSpaceDE w:val="0"/>
              <w:autoSpaceDN w:val="0"/>
              <w:adjustRightInd w:val="0"/>
              <w:jc w:val="center"/>
              <w:rPr>
                <w:rFonts w:ascii="宋体" w:hAnsi="宋体" w:eastAsia="宋体"/>
                <w:szCs w:val="21"/>
              </w:rPr>
            </w:pPr>
          </w:p>
        </w:tc>
        <w:tc>
          <w:tcPr>
            <w:tcW w:w="1178" w:type="dxa"/>
            <w:gridSpan w:val="2"/>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电话</w:t>
            </w:r>
          </w:p>
        </w:tc>
        <w:tc>
          <w:tcPr>
            <w:tcW w:w="1076" w:type="dxa"/>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成立时间</w:t>
            </w:r>
          </w:p>
        </w:tc>
        <w:tc>
          <w:tcPr>
            <w:tcW w:w="1917" w:type="dxa"/>
            <w:gridSpan w:val="3"/>
            <w:vAlign w:val="center"/>
          </w:tcPr>
          <w:p>
            <w:pPr>
              <w:autoSpaceDE w:val="0"/>
              <w:autoSpaceDN w:val="0"/>
              <w:adjustRightInd w:val="0"/>
              <w:jc w:val="center"/>
              <w:rPr>
                <w:rFonts w:ascii="宋体" w:hAnsi="宋体" w:eastAsia="宋体"/>
                <w:szCs w:val="21"/>
              </w:rPr>
            </w:pPr>
          </w:p>
        </w:tc>
        <w:tc>
          <w:tcPr>
            <w:tcW w:w="4841" w:type="dxa"/>
            <w:gridSpan w:val="6"/>
            <w:vAlign w:val="center"/>
          </w:tcPr>
          <w:p>
            <w:pPr>
              <w:autoSpaceDE w:val="0"/>
              <w:autoSpaceDN w:val="0"/>
              <w:adjustRightInd w:val="0"/>
              <w:ind w:firstLine="1470" w:firstLineChars="700"/>
              <w:rPr>
                <w:rFonts w:ascii="宋体" w:hAnsi="宋体" w:eastAsia="宋体"/>
                <w:szCs w:val="21"/>
              </w:rPr>
            </w:pPr>
            <w:r>
              <w:rPr>
                <w:rFonts w:hint="eastAsia" w:ascii="宋体" w:hAnsi="宋体" w:eastAsia="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企业资质等级</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restart"/>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其中</w:t>
            </w: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项目经理</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营业执照号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高级职称人员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注册资金</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中级职称人员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开户银行</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初级职称人员</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账号</w:t>
            </w:r>
          </w:p>
        </w:tc>
        <w:tc>
          <w:tcPr>
            <w:tcW w:w="1917" w:type="dxa"/>
            <w:gridSpan w:val="3"/>
            <w:vAlign w:val="center"/>
          </w:tcPr>
          <w:p>
            <w:pPr>
              <w:autoSpaceDE w:val="0"/>
              <w:autoSpaceDN w:val="0"/>
              <w:adjustRightInd w:val="0"/>
              <w:jc w:val="center"/>
              <w:rPr>
                <w:rFonts w:ascii="宋体" w:hAnsi="宋体" w:eastAsia="宋体"/>
                <w:szCs w:val="21"/>
              </w:rPr>
            </w:pPr>
          </w:p>
        </w:tc>
        <w:tc>
          <w:tcPr>
            <w:tcW w:w="1255" w:type="dxa"/>
            <w:vMerge w:val="continue"/>
            <w:vAlign w:val="center"/>
          </w:tcPr>
          <w:p>
            <w:pPr>
              <w:autoSpaceDE w:val="0"/>
              <w:autoSpaceDN w:val="0"/>
              <w:adjustRightInd w:val="0"/>
              <w:jc w:val="center"/>
              <w:rPr>
                <w:rFonts w:ascii="宋体" w:hAnsi="宋体" w:eastAsia="宋体"/>
                <w:szCs w:val="21"/>
              </w:rPr>
            </w:pPr>
          </w:p>
        </w:tc>
        <w:tc>
          <w:tcPr>
            <w:tcW w:w="1493" w:type="dxa"/>
            <w:gridSpan w:val="3"/>
            <w:vAlign w:val="center"/>
          </w:tcPr>
          <w:p>
            <w:pPr>
              <w:autoSpaceDE w:val="0"/>
              <w:autoSpaceDN w:val="0"/>
              <w:adjustRightInd w:val="0"/>
              <w:jc w:val="center"/>
              <w:rPr>
                <w:rFonts w:ascii="宋体" w:hAnsi="宋体" w:eastAsia="宋体"/>
                <w:szCs w:val="21"/>
              </w:rPr>
            </w:pPr>
            <w:r>
              <w:rPr>
                <w:rFonts w:hint="eastAsia" w:ascii="宋体" w:hAnsi="宋体" w:eastAsia="宋体"/>
                <w:szCs w:val="21"/>
              </w:rPr>
              <w:t>技工</w:t>
            </w:r>
          </w:p>
        </w:tc>
        <w:tc>
          <w:tcPr>
            <w:tcW w:w="2093" w:type="dxa"/>
            <w:gridSpan w:val="2"/>
            <w:vAlign w:val="center"/>
          </w:tcPr>
          <w:p>
            <w:pPr>
              <w:autoSpaceDE w:val="0"/>
              <w:autoSpaceDN w:val="0"/>
              <w:adjustRightInd w:val="0"/>
              <w:jc w:val="center"/>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经营范围</w:t>
            </w:r>
          </w:p>
        </w:tc>
        <w:tc>
          <w:tcPr>
            <w:tcW w:w="6758" w:type="dxa"/>
            <w:gridSpan w:val="9"/>
            <w:vAlign w:val="center"/>
          </w:tcPr>
          <w:p>
            <w:pPr>
              <w:autoSpaceDE w:val="0"/>
              <w:autoSpaceDN w:val="0"/>
              <w:adjustRightInd w:val="0"/>
              <w:rPr>
                <w:rFonts w:ascii="宋体" w:hAnsi="宋体" w:eastAsia="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64" w:type="dxa"/>
            <w:vAlign w:val="center"/>
          </w:tcPr>
          <w:p>
            <w:pPr>
              <w:autoSpaceDE w:val="0"/>
              <w:autoSpaceDN w:val="0"/>
              <w:adjustRightInd w:val="0"/>
              <w:jc w:val="center"/>
              <w:rPr>
                <w:rFonts w:ascii="宋体" w:hAnsi="宋体" w:eastAsia="宋体"/>
                <w:szCs w:val="21"/>
              </w:rPr>
            </w:pPr>
            <w:r>
              <w:rPr>
                <w:rFonts w:hint="eastAsia" w:ascii="宋体" w:hAnsi="宋体" w:eastAsia="宋体"/>
                <w:szCs w:val="21"/>
              </w:rPr>
              <w:t>备注</w:t>
            </w:r>
          </w:p>
        </w:tc>
        <w:tc>
          <w:tcPr>
            <w:tcW w:w="6758" w:type="dxa"/>
            <w:gridSpan w:val="9"/>
            <w:vAlign w:val="center"/>
          </w:tcPr>
          <w:p>
            <w:pPr>
              <w:autoSpaceDE w:val="0"/>
              <w:autoSpaceDN w:val="0"/>
              <w:adjustRightInd w:val="0"/>
              <w:jc w:val="left"/>
              <w:rPr>
                <w:rFonts w:ascii="宋体" w:hAnsi="宋体" w:eastAsia="宋体"/>
                <w:szCs w:val="21"/>
              </w:rPr>
            </w:pPr>
          </w:p>
        </w:tc>
      </w:tr>
    </w:tbl>
    <w:p>
      <w:pPr>
        <w:adjustRightInd w:val="0"/>
        <w:spacing w:line="400" w:lineRule="exact"/>
        <w:ind w:firstLine="420" w:firstLineChars="175"/>
        <w:jc w:val="left"/>
        <w:rPr>
          <w:rFonts w:ascii="宋体" w:hAnsi="宋体" w:eastAsia="宋体"/>
          <w:sz w:val="24"/>
        </w:rPr>
      </w:pPr>
    </w:p>
    <w:p>
      <w:pPr>
        <w:adjustRightInd w:val="0"/>
        <w:spacing w:line="560" w:lineRule="exact"/>
        <w:ind w:firstLine="420" w:firstLineChars="175"/>
        <w:jc w:val="left"/>
        <w:rPr>
          <w:rFonts w:ascii="宋体" w:hAnsi="宋体" w:eastAsia="宋体"/>
          <w:sz w:val="24"/>
        </w:rPr>
      </w:pPr>
      <w:r>
        <w:rPr>
          <w:rFonts w:hint="eastAsia" w:ascii="宋体" w:hAnsi="宋体" w:eastAsia="宋体"/>
          <w:sz w:val="24"/>
        </w:rPr>
        <w:t>申请人名称：XXXX（单位公章）</w:t>
      </w:r>
    </w:p>
    <w:p>
      <w:pPr>
        <w:adjustRightInd w:val="0"/>
        <w:spacing w:line="560" w:lineRule="exact"/>
        <w:ind w:firstLine="420" w:firstLineChars="175"/>
        <w:jc w:val="left"/>
        <w:rPr>
          <w:rFonts w:ascii="宋体" w:hAnsi="宋体" w:eastAsia="宋体"/>
          <w:sz w:val="24"/>
        </w:rPr>
      </w:pPr>
      <w:r>
        <w:rPr>
          <w:rFonts w:hint="eastAsia" w:ascii="宋体" w:hAnsi="宋体" w:eastAsia="宋体"/>
          <w:sz w:val="24"/>
        </w:rPr>
        <w:t>法定代表人/</w:t>
      </w:r>
      <w:r>
        <w:rPr>
          <w:rFonts w:hint="eastAsia" w:ascii="宋体" w:hAnsi="宋体" w:eastAsia="宋体"/>
          <w:sz w:val="24"/>
          <w:szCs w:val="24"/>
        </w:rPr>
        <w:t>单位负责人</w:t>
      </w:r>
      <w:r>
        <w:rPr>
          <w:rFonts w:hint="eastAsia" w:ascii="宋体" w:hAnsi="宋体" w:eastAsia="宋体"/>
          <w:sz w:val="24"/>
        </w:rPr>
        <w:t>或授权代表（签字）：</w:t>
      </w:r>
    </w:p>
    <w:p>
      <w:pPr>
        <w:adjustRightInd w:val="0"/>
        <w:spacing w:line="560" w:lineRule="exact"/>
        <w:ind w:firstLine="420" w:firstLineChars="175"/>
        <w:jc w:val="left"/>
        <w:rPr>
          <w:rFonts w:ascii="宋体" w:hAnsi="宋体" w:eastAsia="宋体"/>
          <w:b/>
          <w:sz w:val="24"/>
        </w:rPr>
      </w:pPr>
      <w:r>
        <w:rPr>
          <w:rFonts w:hint="eastAsia" w:ascii="宋体" w:hAnsi="宋体" w:eastAsia="宋体"/>
          <w:sz w:val="24"/>
        </w:rPr>
        <w:t>日期：</w:t>
      </w:r>
    </w:p>
    <w:p>
      <w:pPr>
        <w:spacing w:line="560" w:lineRule="exact"/>
        <w:rPr>
          <w:rFonts w:ascii="宋体" w:hAnsi="宋体" w:eastAsia="宋体"/>
        </w:rPr>
      </w:pPr>
      <w:r>
        <w:rPr>
          <w:rFonts w:ascii="宋体" w:hAnsi="宋体" w:eastAsia="宋体"/>
        </w:rPr>
        <w:br w:type="page"/>
      </w:r>
    </w:p>
    <w:p>
      <w:pPr>
        <w:pStyle w:val="3"/>
        <w:spacing w:before="0" w:after="0" w:line="400" w:lineRule="exact"/>
        <w:jc w:val="center"/>
        <w:rPr>
          <w:rFonts w:ascii="宋体" w:hAnsi="宋体" w:eastAsia="宋体"/>
          <w:sz w:val="32"/>
        </w:rPr>
      </w:pPr>
      <w:bookmarkStart w:id="29" w:name="_Toc217446089"/>
      <w:r>
        <w:rPr>
          <w:rFonts w:hint="eastAsia" w:ascii="宋体" w:hAnsi="宋体" w:eastAsia="宋体"/>
          <w:sz w:val="32"/>
        </w:rPr>
        <w:t>五、申请人类似项目业绩一览表</w:t>
      </w:r>
      <w:bookmarkEnd w:id="29"/>
    </w:p>
    <w:p>
      <w:pPr>
        <w:spacing w:line="400" w:lineRule="exact"/>
        <w:rPr>
          <w:rFonts w:ascii="宋体" w:hAnsi="宋体" w:eastAsia="宋体" w:cs="Arial"/>
          <w:sz w:val="24"/>
        </w:rPr>
      </w:pPr>
    </w:p>
    <w:tbl>
      <w:tblPr>
        <w:tblStyle w:val="24"/>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42"/>
        <w:gridCol w:w="1681"/>
        <w:gridCol w:w="1541"/>
        <w:gridCol w:w="1519"/>
        <w:gridCol w:w="1559"/>
        <w:gridCol w:w="127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tcBorders>
              <w:top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年份</w:t>
            </w:r>
          </w:p>
        </w:tc>
        <w:tc>
          <w:tcPr>
            <w:tcW w:w="1681" w:type="dxa"/>
            <w:vAlign w:val="center"/>
          </w:tcPr>
          <w:p>
            <w:pPr>
              <w:spacing w:line="400" w:lineRule="exact"/>
              <w:jc w:val="center"/>
              <w:rPr>
                <w:rFonts w:ascii="宋体" w:hAnsi="宋体" w:eastAsia="宋体" w:cs="Arial"/>
                <w:b/>
                <w:sz w:val="22"/>
              </w:rPr>
            </w:pPr>
            <w:r>
              <w:rPr>
                <w:rFonts w:hint="eastAsia" w:ascii="宋体" w:hAnsi="宋体" w:eastAsia="宋体" w:cs="Arial"/>
                <w:b/>
                <w:sz w:val="22"/>
              </w:rPr>
              <w:t>用户名称</w:t>
            </w:r>
          </w:p>
        </w:tc>
        <w:tc>
          <w:tcPr>
            <w:tcW w:w="1541" w:type="dxa"/>
            <w:vAlign w:val="center"/>
          </w:tcPr>
          <w:p>
            <w:pPr>
              <w:spacing w:line="400" w:lineRule="exact"/>
              <w:jc w:val="center"/>
              <w:rPr>
                <w:rFonts w:ascii="宋体" w:hAnsi="宋体" w:eastAsia="宋体" w:cs="Arial"/>
                <w:b/>
                <w:sz w:val="22"/>
              </w:rPr>
            </w:pPr>
            <w:r>
              <w:rPr>
                <w:rFonts w:ascii="宋体" w:hAnsi="宋体" w:eastAsia="宋体" w:cs="Arial"/>
                <w:b/>
                <w:sz w:val="22"/>
              </w:rPr>
              <w:t>项目名称</w:t>
            </w:r>
          </w:p>
        </w:tc>
        <w:tc>
          <w:tcPr>
            <w:tcW w:w="1519" w:type="dxa"/>
            <w:vAlign w:val="center"/>
          </w:tcPr>
          <w:p>
            <w:pPr>
              <w:spacing w:line="400" w:lineRule="exact"/>
              <w:ind w:left="1" w:leftChars="-28" w:hanging="60" w:hangingChars="27"/>
              <w:jc w:val="center"/>
              <w:rPr>
                <w:rFonts w:ascii="宋体" w:hAnsi="宋体" w:eastAsia="宋体" w:cs="Arial"/>
                <w:b/>
                <w:sz w:val="22"/>
              </w:rPr>
            </w:pPr>
            <w:r>
              <w:rPr>
                <w:rFonts w:ascii="宋体" w:hAnsi="宋体" w:eastAsia="宋体" w:cs="Arial"/>
                <w:b/>
                <w:sz w:val="22"/>
              </w:rPr>
              <w:t>完成时间</w:t>
            </w:r>
          </w:p>
        </w:tc>
        <w:tc>
          <w:tcPr>
            <w:tcW w:w="1559" w:type="dxa"/>
            <w:vAlign w:val="center"/>
          </w:tcPr>
          <w:p>
            <w:pPr>
              <w:spacing w:line="400" w:lineRule="exact"/>
              <w:jc w:val="center"/>
              <w:rPr>
                <w:rFonts w:ascii="宋体" w:hAnsi="宋体" w:eastAsia="宋体" w:cs="Arial"/>
                <w:b/>
                <w:sz w:val="22"/>
              </w:rPr>
            </w:pPr>
            <w:r>
              <w:rPr>
                <w:rFonts w:ascii="宋体" w:hAnsi="宋体" w:eastAsia="宋体" w:cs="Arial"/>
                <w:b/>
                <w:sz w:val="22"/>
              </w:rPr>
              <w:t>合同金额</w:t>
            </w:r>
          </w:p>
        </w:tc>
        <w:tc>
          <w:tcPr>
            <w:tcW w:w="1272" w:type="dxa"/>
            <w:tcBorders>
              <w:left w:val="single" w:color="auto" w:sz="4" w:space="0"/>
            </w:tcBorders>
            <w:vAlign w:val="center"/>
          </w:tcPr>
          <w:p>
            <w:pPr>
              <w:spacing w:line="400" w:lineRule="exact"/>
              <w:jc w:val="center"/>
              <w:rPr>
                <w:rFonts w:ascii="宋体" w:hAnsi="宋体" w:eastAsia="宋体" w:cs="Arial"/>
                <w:b/>
                <w:sz w:val="22"/>
              </w:rPr>
            </w:pPr>
            <w:r>
              <w:rPr>
                <w:rFonts w:hint="eastAsia" w:ascii="宋体" w:hAnsi="宋体" w:eastAsia="宋体" w:cs="Arial"/>
                <w:b/>
                <w:sz w:val="2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vAlign w:val="center"/>
          </w:tcPr>
          <w:p>
            <w:pPr>
              <w:spacing w:line="400" w:lineRule="exact"/>
              <w:jc w:val="center"/>
              <w:rPr>
                <w:rFonts w:ascii="宋体" w:hAnsi="宋体" w:eastAsia="宋体" w:cs="Arial"/>
              </w:rPr>
            </w:pPr>
          </w:p>
        </w:tc>
        <w:tc>
          <w:tcPr>
            <w:tcW w:w="1541" w:type="dxa"/>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42" w:type="dxa"/>
            <w:vAlign w:val="center"/>
          </w:tcPr>
          <w:p>
            <w:pPr>
              <w:spacing w:line="400" w:lineRule="exact"/>
              <w:jc w:val="center"/>
              <w:rPr>
                <w:rFonts w:ascii="宋体" w:hAnsi="宋体" w:eastAsia="宋体" w:cs="Arial"/>
              </w:rPr>
            </w:pPr>
          </w:p>
        </w:tc>
        <w:tc>
          <w:tcPr>
            <w:tcW w:w="1681" w:type="dxa"/>
            <w:tcBorders>
              <w:right w:val="single" w:color="auto" w:sz="4" w:space="0"/>
            </w:tcBorders>
            <w:vAlign w:val="center"/>
          </w:tcPr>
          <w:p>
            <w:pPr>
              <w:spacing w:line="400" w:lineRule="exact"/>
              <w:jc w:val="center"/>
              <w:rPr>
                <w:rFonts w:ascii="宋体" w:hAnsi="宋体" w:eastAsia="宋体" w:cs="Arial"/>
              </w:rPr>
            </w:pPr>
          </w:p>
        </w:tc>
        <w:tc>
          <w:tcPr>
            <w:tcW w:w="1541" w:type="dxa"/>
            <w:tcBorders>
              <w:left w:val="single" w:color="auto" w:sz="4" w:space="0"/>
            </w:tcBorders>
            <w:vAlign w:val="center"/>
          </w:tcPr>
          <w:p>
            <w:pPr>
              <w:spacing w:line="400" w:lineRule="exact"/>
              <w:jc w:val="center"/>
              <w:rPr>
                <w:rFonts w:ascii="宋体" w:hAnsi="宋体" w:eastAsia="宋体" w:cs="Arial"/>
              </w:rPr>
            </w:pPr>
          </w:p>
        </w:tc>
        <w:tc>
          <w:tcPr>
            <w:tcW w:w="1519" w:type="dxa"/>
            <w:vAlign w:val="center"/>
          </w:tcPr>
          <w:p>
            <w:pPr>
              <w:spacing w:line="400" w:lineRule="exact"/>
              <w:jc w:val="center"/>
              <w:rPr>
                <w:rFonts w:ascii="宋体" w:hAnsi="宋体" w:eastAsia="宋体" w:cs="Arial"/>
              </w:rPr>
            </w:pPr>
          </w:p>
        </w:tc>
        <w:tc>
          <w:tcPr>
            <w:tcW w:w="1559" w:type="dxa"/>
            <w:vAlign w:val="center"/>
          </w:tcPr>
          <w:p>
            <w:pPr>
              <w:spacing w:line="400" w:lineRule="exact"/>
              <w:jc w:val="center"/>
              <w:rPr>
                <w:rFonts w:ascii="宋体" w:hAnsi="宋体" w:eastAsia="宋体" w:cs="Arial"/>
              </w:rPr>
            </w:pPr>
          </w:p>
        </w:tc>
        <w:tc>
          <w:tcPr>
            <w:tcW w:w="1272" w:type="dxa"/>
            <w:tcBorders>
              <w:left w:val="single" w:color="auto" w:sz="4" w:space="0"/>
            </w:tcBorders>
            <w:vAlign w:val="center"/>
          </w:tcPr>
          <w:p>
            <w:pPr>
              <w:spacing w:line="400" w:lineRule="exact"/>
              <w:jc w:val="center"/>
              <w:rPr>
                <w:rFonts w:ascii="宋体" w:hAnsi="宋体" w:eastAsia="宋体" w:cs="Arial"/>
              </w:rPr>
            </w:pPr>
          </w:p>
        </w:tc>
      </w:tr>
    </w:tbl>
    <w:p>
      <w:pPr>
        <w:rPr>
          <w:rFonts w:ascii="宋体" w:hAnsi="宋体" w:eastAsia="宋体"/>
        </w:rPr>
      </w:pPr>
      <w:r>
        <w:rPr>
          <w:rFonts w:ascii="宋体" w:hAnsi="宋体" w:eastAsia="宋体"/>
        </w:rPr>
        <w:br w:type="page"/>
      </w:r>
    </w:p>
    <w:p>
      <w:pPr>
        <w:pStyle w:val="3"/>
        <w:spacing w:before="0" w:after="0" w:line="400" w:lineRule="exact"/>
        <w:jc w:val="center"/>
        <w:rPr>
          <w:rFonts w:ascii="宋体" w:hAnsi="宋体" w:eastAsia="宋体"/>
          <w:sz w:val="32"/>
        </w:rPr>
      </w:pPr>
      <w:r>
        <w:rPr>
          <w:rFonts w:hint="eastAsia" w:ascii="宋体" w:hAnsi="宋体" w:eastAsia="宋体"/>
          <w:sz w:val="32"/>
        </w:rPr>
        <w:t>六、技术参数要求响应情况表</w:t>
      </w:r>
    </w:p>
    <w:p>
      <w:pPr>
        <w:rPr>
          <w:rFonts w:ascii="宋体" w:hAnsi="宋体" w:eastAsia="宋体"/>
        </w:rPr>
      </w:pPr>
    </w:p>
    <w:tbl>
      <w:tblPr>
        <w:tblStyle w:val="24"/>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982"/>
        <w:gridCol w:w="2748"/>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2982"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748"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38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spacing w:line="360" w:lineRule="auto"/>
              <w:jc w:val="center"/>
              <w:rPr>
                <w:rFonts w:ascii="宋体" w:hAnsi="宋体" w:eastAsia="宋体" w:cs="仿宋"/>
                <w:sz w:val="21"/>
                <w:szCs w:val="21"/>
              </w:rPr>
            </w:pPr>
          </w:p>
        </w:tc>
        <w:tc>
          <w:tcPr>
            <w:tcW w:w="2748" w:type="dxa"/>
            <w:vAlign w:val="center"/>
          </w:tcPr>
          <w:p>
            <w:pPr>
              <w:pStyle w:val="45"/>
              <w:spacing w:line="360" w:lineRule="auto"/>
              <w:jc w:val="center"/>
              <w:rPr>
                <w:rFonts w:ascii="宋体" w:hAnsi="宋体" w:eastAsia="宋体" w:cs="仿宋"/>
                <w:sz w:val="21"/>
                <w:szCs w:val="21"/>
              </w:rPr>
            </w:pPr>
          </w:p>
        </w:tc>
        <w:tc>
          <w:tcPr>
            <w:tcW w:w="2383" w:type="dxa"/>
            <w:vAlign w:val="center"/>
          </w:tcPr>
          <w:p>
            <w:pPr>
              <w:pStyle w:val="45"/>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5"/>
              <w:jc w:val="center"/>
              <w:rPr>
                <w:rFonts w:ascii="宋体" w:hAnsi="宋体" w:eastAsia="宋体" w:cs="仿宋"/>
                <w:sz w:val="21"/>
                <w:szCs w:val="21"/>
              </w:rPr>
            </w:pPr>
          </w:p>
        </w:tc>
        <w:tc>
          <w:tcPr>
            <w:tcW w:w="2982" w:type="dxa"/>
            <w:vAlign w:val="center"/>
          </w:tcPr>
          <w:p>
            <w:pPr>
              <w:pStyle w:val="45"/>
              <w:jc w:val="center"/>
              <w:rPr>
                <w:rFonts w:ascii="宋体" w:hAnsi="宋体" w:eastAsia="宋体" w:cs="仿宋"/>
                <w:sz w:val="21"/>
                <w:szCs w:val="21"/>
              </w:rPr>
            </w:pPr>
          </w:p>
        </w:tc>
        <w:tc>
          <w:tcPr>
            <w:tcW w:w="2748" w:type="dxa"/>
            <w:vAlign w:val="center"/>
          </w:tcPr>
          <w:p>
            <w:pPr>
              <w:pStyle w:val="45"/>
              <w:jc w:val="center"/>
              <w:rPr>
                <w:rFonts w:ascii="宋体" w:hAnsi="宋体" w:eastAsia="宋体" w:cs="仿宋"/>
                <w:sz w:val="21"/>
                <w:szCs w:val="21"/>
              </w:rPr>
            </w:pPr>
          </w:p>
        </w:tc>
        <w:tc>
          <w:tcPr>
            <w:tcW w:w="2383" w:type="dxa"/>
            <w:vAlign w:val="center"/>
          </w:tcPr>
          <w:p>
            <w:pPr>
              <w:pStyle w:val="45"/>
              <w:jc w:val="center"/>
              <w:rPr>
                <w:rFonts w:ascii="宋体" w:hAnsi="宋体" w:eastAsia="宋体" w:cs="仿宋"/>
                <w:sz w:val="21"/>
                <w:szCs w:val="21"/>
              </w:rPr>
            </w:pPr>
          </w:p>
        </w:tc>
      </w:tr>
    </w:tbl>
    <w:p>
      <w:pPr>
        <w:ind w:firstLine="482" w:firstLineChars="200"/>
        <w:rPr>
          <w:rFonts w:ascii="宋体" w:hAnsi="宋体" w:eastAsia="宋体"/>
          <w:b/>
          <w:sz w:val="24"/>
        </w:rPr>
      </w:pPr>
    </w:p>
    <w:p>
      <w:pPr>
        <w:spacing w:line="520" w:lineRule="exact"/>
        <w:ind w:firstLine="482" w:firstLineChars="200"/>
        <w:rPr>
          <w:rFonts w:ascii="宋体" w:hAnsi="宋体" w:eastAsia="宋体"/>
          <w:b/>
          <w:bCs/>
          <w:sz w:val="24"/>
        </w:rPr>
      </w:pPr>
      <w:r>
        <w:rPr>
          <w:rFonts w:hint="eastAsia" w:ascii="宋体" w:hAnsi="宋体" w:eastAsia="宋体"/>
          <w:b/>
          <w:bCs/>
          <w:sz w:val="24"/>
        </w:rPr>
        <w:t>注：申请人按照比选文件“第四章”“技术参数要求”的全部逐项梳理填写本表。</w:t>
      </w:r>
    </w:p>
    <w:p>
      <w:pPr>
        <w:adjustRightInd w:val="0"/>
        <w:spacing w:line="40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法定代表人/单位负责人或授权代表（签字或加盖个人印章）：XXX</w:t>
      </w: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日期：XXX年XXX月XXX日</w:t>
      </w: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br w:type="page"/>
      </w:r>
    </w:p>
    <w:p>
      <w:pPr>
        <w:pStyle w:val="3"/>
        <w:spacing w:before="0" w:after="0" w:line="400" w:lineRule="exact"/>
        <w:jc w:val="center"/>
        <w:rPr>
          <w:rFonts w:ascii="宋体" w:hAnsi="宋体" w:eastAsia="宋体"/>
          <w:sz w:val="32"/>
        </w:rPr>
      </w:pPr>
      <w:r>
        <w:rPr>
          <w:rFonts w:hint="eastAsia" w:ascii="宋体" w:hAnsi="宋体" w:eastAsia="宋体"/>
          <w:sz w:val="32"/>
        </w:rPr>
        <w:t>七、商务应答表</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689"/>
        <w:gridCol w:w="2263"/>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jc w:val="center"/>
              <w:rPr>
                <w:rFonts w:ascii="宋体" w:hAnsi="宋体" w:eastAsia="宋体" w:cs="仿宋"/>
                <w:b/>
                <w:bCs/>
                <w:szCs w:val="21"/>
              </w:rPr>
            </w:pPr>
            <w:r>
              <w:rPr>
                <w:rFonts w:hint="eastAsia" w:ascii="宋体" w:hAnsi="宋体" w:eastAsia="宋体" w:cs="仿宋"/>
                <w:b/>
                <w:bCs/>
                <w:sz w:val="22"/>
              </w:rPr>
              <w:t>序号</w:t>
            </w:r>
          </w:p>
        </w:tc>
        <w:tc>
          <w:tcPr>
            <w:tcW w:w="3689" w:type="dxa"/>
            <w:vAlign w:val="center"/>
          </w:tcPr>
          <w:p>
            <w:pPr>
              <w:jc w:val="center"/>
              <w:rPr>
                <w:rFonts w:ascii="宋体" w:hAnsi="宋体" w:eastAsia="宋体" w:cs="仿宋"/>
                <w:b/>
                <w:bCs/>
                <w:szCs w:val="21"/>
              </w:rPr>
            </w:pPr>
            <w:r>
              <w:rPr>
                <w:rFonts w:hint="eastAsia" w:ascii="宋体" w:hAnsi="宋体" w:eastAsia="宋体" w:cs="仿宋"/>
                <w:b/>
                <w:bCs/>
                <w:sz w:val="22"/>
              </w:rPr>
              <w:t>比选文件要求</w:t>
            </w:r>
          </w:p>
        </w:tc>
        <w:tc>
          <w:tcPr>
            <w:tcW w:w="2263" w:type="dxa"/>
            <w:vAlign w:val="center"/>
          </w:tcPr>
          <w:p>
            <w:pPr>
              <w:jc w:val="center"/>
              <w:rPr>
                <w:rFonts w:ascii="宋体" w:hAnsi="宋体" w:eastAsia="宋体" w:cs="仿宋"/>
                <w:b/>
                <w:bCs/>
                <w:szCs w:val="21"/>
              </w:rPr>
            </w:pPr>
            <w:r>
              <w:rPr>
                <w:rFonts w:hint="eastAsia" w:ascii="宋体" w:hAnsi="宋体" w:eastAsia="宋体" w:cs="仿宋"/>
                <w:b/>
                <w:bCs/>
                <w:sz w:val="22"/>
              </w:rPr>
              <w:t>响应内容</w:t>
            </w:r>
          </w:p>
        </w:tc>
        <w:tc>
          <w:tcPr>
            <w:tcW w:w="2263" w:type="dxa"/>
            <w:vAlign w:val="center"/>
          </w:tcPr>
          <w:p>
            <w:pPr>
              <w:jc w:val="center"/>
              <w:rPr>
                <w:rFonts w:ascii="宋体" w:hAnsi="宋体" w:eastAsia="宋体" w:cs="仿宋"/>
                <w:b/>
                <w:bCs/>
                <w:sz w:val="22"/>
              </w:rPr>
            </w:pPr>
            <w:r>
              <w:rPr>
                <w:rFonts w:hint="eastAsia" w:ascii="宋体" w:hAnsi="宋体" w:eastAsia="宋体" w:cs="仿宋"/>
                <w:b/>
                <w:bCs/>
                <w:sz w:val="22"/>
              </w:rPr>
              <w:t>差异说明</w:t>
            </w:r>
          </w:p>
          <w:p>
            <w:pPr>
              <w:jc w:val="center"/>
              <w:rPr>
                <w:rFonts w:ascii="宋体" w:hAnsi="宋体" w:eastAsia="宋体" w:cs="仿宋"/>
                <w:b/>
                <w:bCs/>
                <w:sz w:val="22"/>
              </w:rPr>
            </w:pPr>
            <w:r>
              <w:rPr>
                <w:rFonts w:hint="eastAsia" w:ascii="宋体" w:hAnsi="宋体" w:eastAsia="宋体" w:cs="仿宋"/>
                <w:b/>
                <w:bCs/>
                <w:sz w:val="22"/>
              </w:rPr>
              <w:t>（若有）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spacing w:line="360" w:lineRule="auto"/>
              <w:jc w:val="center"/>
              <w:rPr>
                <w:rFonts w:ascii="宋体" w:hAnsi="宋体" w:eastAsia="宋体" w:cs="仿宋"/>
                <w:sz w:val="21"/>
                <w:szCs w:val="21"/>
              </w:rPr>
            </w:pPr>
          </w:p>
        </w:tc>
        <w:tc>
          <w:tcPr>
            <w:tcW w:w="2263" w:type="dxa"/>
            <w:vAlign w:val="center"/>
          </w:tcPr>
          <w:p>
            <w:pPr>
              <w:pStyle w:val="45"/>
              <w:spacing w:line="360" w:lineRule="auto"/>
              <w:jc w:val="center"/>
              <w:rPr>
                <w:rFonts w:ascii="宋体" w:hAnsi="宋体" w:eastAsia="宋体" w:cs="仿宋"/>
                <w:sz w:val="21"/>
                <w:szCs w:val="21"/>
              </w:rPr>
            </w:pPr>
          </w:p>
        </w:tc>
        <w:tc>
          <w:tcPr>
            <w:tcW w:w="2263" w:type="dxa"/>
            <w:vAlign w:val="center"/>
          </w:tcPr>
          <w:p>
            <w:pPr>
              <w:pStyle w:val="45"/>
              <w:spacing w:line="360" w:lineRule="auto"/>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110" w:type="dxa"/>
            <w:vAlign w:val="center"/>
          </w:tcPr>
          <w:p>
            <w:pPr>
              <w:pStyle w:val="45"/>
              <w:jc w:val="center"/>
              <w:rPr>
                <w:rFonts w:ascii="宋体" w:hAnsi="宋体" w:eastAsia="宋体" w:cs="仿宋"/>
                <w:sz w:val="21"/>
                <w:szCs w:val="21"/>
              </w:rPr>
            </w:pPr>
          </w:p>
        </w:tc>
        <w:tc>
          <w:tcPr>
            <w:tcW w:w="3689"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c>
          <w:tcPr>
            <w:tcW w:w="2263" w:type="dxa"/>
            <w:vAlign w:val="center"/>
          </w:tcPr>
          <w:p>
            <w:pPr>
              <w:pStyle w:val="45"/>
              <w:jc w:val="center"/>
              <w:rPr>
                <w:rFonts w:ascii="宋体" w:hAnsi="宋体" w:eastAsia="宋体" w:cs="仿宋"/>
                <w:sz w:val="21"/>
                <w:szCs w:val="21"/>
              </w:rPr>
            </w:pPr>
          </w:p>
        </w:tc>
      </w:tr>
    </w:tbl>
    <w:p>
      <w:pPr>
        <w:spacing w:line="560" w:lineRule="exact"/>
        <w:ind w:firstLine="482" w:firstLineChars="200"/>
        <w:rPr>
          <w:rFonts w:ascii="宋体" w:hAnsi="宋体" w:eastAsia="宋体"/>
          <w:b/>
          <w:bCs/>
          <w:sz w:val="24"/>
        </w:rPr>
      </w:pPr>
      <w:r>
        <w:rPr>
          <w:rFonts w:hint="eastAsia" w:ascii="宋体" w:hAnsi="宋体" w:eastAsia="宋体"/>
          <w:b/>
          <w:bCs/>
          <w:sz w:val="24"/>
        </w:rPr>
        <w:t>注：申请人按照比选文件“第四章”“商务要求”的全部逐项梳理填写本表。</w:t>
      </w:r>
    </w:p>
    <w:p>
      <w:pPr>
        <w:adjustRightInd w:val="0"/>
        <w:spacing w:line="560" w:lineRule="exact"/>
        <w:ind w:firstLine="480" w:firstLineChars="200"/>
        <w:jc w:val="left"/>
        <w:rPr>
          <w:rFonts w:ascii="宋体" w:hAnsi="宋体" w:eastAsia="宋体"/>
          <w:sz w:val="24"/>
        </w:rPr>
      </w:pPr>
    </w:p>
    <w:p>
      <w:pPr>
        <w:adjustRightInd w:val="0"/>
        <w:spacing w:line="560" w:lineRule="exact"/>
        <w:ind w:firstLine="480" w:firstLineChars="200"/>
        <w:jc w:val="left"/>
        <w:rPr>
          <w:rFonts w:ascii="宋体" w:hAnsi="宋体" w:eastAsia="宋体"/>
          <w:sz w:val="24"/>
        </w:rPr>
      </w:pPr>
      <w:r>
        <w:rPr>
          <w:rFonts w:hint="eastAsia" w:ascii="宋体" w:hAnsi="宋体" w:eastAsia="宋体"/>
          <w:sz w:val="24"/>
        </w:rPr>
        <w:t>申请人名称：XXX（盖单位公章）</w:t>
      </w:r>
    </w:p>
    <w:p>
      <w:pPr>
        <w:adjustRightInd w:val="0"/>
        <w:spacing w:line="560" w:lineRule="exact"/>
        <w:ind w:firstLine="480" w:firstLineChars="200"/>
        <w:jc w:val="left"/>
        <w:rPr>
          <w:rFonts w:ascii="宋体" w:hAnsi="宋体" w:eastAsia="宋体"/>
          <w:bCs/>
          <w:sz w:val="24"/>
        </w:rPr>
      </w:pPr>
      <w:r>
        <w:rPr>
          <w:rFonts w:hint="eastAsia" w:ascii="宋体" w:hAnsi="宋体" w:eastAsia="宋体"/>
          <w:bCs/>
          <w:sz w:val="24"/>
        </w:rPr>
        <w:t>法定代表人/单位负责人或授权代表</w:t>
      </w:r>
      <w:r>
        <w:rPr>
          <w:rFonts w:hint="eastAsia" w:ascii="宋体" w:hAnsi="宋体" w:eastAsia="宋体"/>
          <w:sz w:val="24"/>
        </w:rPr>
        <w:t>（签字或加盖个人印章）</w:t>
      </w:r>
      <w:r>
        <w:rPr>
          <w:rFonts w:hint="eastAsia" w:ascii="宋体" w:hAnsi="宋体" w:eastAsia="宋体"/>
          <w:bCs/>
          <w:sz w:val="24"/>
        </w:rPr>
        <w:t>：XXX</w:t>
      </w:r>
    </w:p>
    <w:p>
      <w:pPr>
        <w:spacing w:line="560" w:lineRule="exact"/>
        <w:ind w:firstLine="480" w:firstLineChars="200"/>
        <w:rPr>
          <w:rFonts w:ascii="宋体" w:hAnsi="宋体" w:eastAsia="宋体"/>
          <w:bCs/>
          <w:sz w:val="24"/>
        </w:rPr>
      </w:pPr>
      <w:r>
        <w:rPr>
          <w:rFonts w:hint="eastAsia" w:ascii="宋体" w:hAnsi="宋体" w:eastAsia="宋体"/>
          <w:bCs/>
          <w:sz w:val="24"/>
        </w:rPr>
        <w:t>日期：XXX年XXX月XXX日</w:t>
      </w:r>
    </w:p>
    <w:p>
      <w:pPr>
        <w:spacing w:line="560" w:lineRule="exact"/>
        <w:ind w:firstLine="200"/>
        <w:rPr>
          <w:rFonts w:ascii="宋体" w:hAnsi="宋体" w:eastAsia="宋体"/>
          <w:bCs/>
          <w:sz w:val="24"/>
        </w:rPr>
      </w:pPr>
      <w:r>
        <w:rPr>
          <w:rFonts w:hint="eastAsia" w:ascii="宋体" w:hAnsi="宋体" w:eastAsia="宋体"/>
          <w:bCs/>
          <w:sz w:val="24"/>
        </w:rPr>
        <w:br w:type="page"/>
      </w:r>
    </w:p>
    <w:p>
      <w:pPr>
        <w:pStyle w:val="3"/>
        <w:spacing w:before="0" w:after="0" w:line="400" w:lineRule="exact"/>
        <w:jc w:val="center"/>
        <w:rPr>
          <w:rFonts w:ascii="宋体" w:hAnsi="宋体" w:eastAsia="宋体"/>
          <w:sz w:val="32"/>
        </w:rPr>
      </w:pPr>
      <w:r>
        <w:rPr>
          <w:rFonts w:hint="eastAsia" w:ascii="宋体" w:hAnsi="宋体" w:eastAsia="宋体"/>
          <w:sz w:val="32"/>
        </w:rPr>
        <w:t xml:space="preserve">八、报价一览表 </w:t>
      </w:r>
    </w:p>
    <w:p>
      <w:pPr>
        <w:rPr>
          <w:rFonts w:ascii="宋体" w:hAnsi="宋体" w:eastAsia="宋体" w:cs="仿宋"/>
          <w:sz w:val="24"/>
          <w:szCs w:val="24"/>
        </w:rPr>
      </w:pPr>
    </w:p>
    <w:p>
      <w:pPr>
        <w:rPr>
          <w:rFonts w:ascii="宋体" w:hAnsi="宋体" w:eastAsia="宋体" w:cs="仿宋"/>
          <w:sz w:val="24"/>
          <w:szCs w:val="24"/>
        </w:rPr>
      </w:pPr>
    </w:p>
    <w:p>
      <w:pPr>
        <w:spacing w:line="560" w:lineRule="exact"/>
        <w:rPr>
          <w:rFonts w:ascii="宋体" w:hAnsi="宋体" w:eastAsia="宋体" w:cs="仿宋"/>
          <w:sz w:val="24"/>
          <w:szCs w:val="24"/>
        </w:rPr>
      </w:pPr>
      <w:r>
        <w:rPr>
          <w:rFonts w:hint="eastAsia" w:ascii="宋体" w:hAnsi="宋体" w:eastAsia="宋体" w:cs="仿宋"/>
          <w:sz w:val="24"/>
          <w:szCs w:val="24"/>
        </w:rPr>
        <w:t xml:space="preserve">项目名称：                                                                          </w:t>
      </w:r>
    </w:p>
    <w:p>
      <w:pPr>
        <w:spacing w:line="560" w:lineRule="exact"/>
        <w:rPr>
          <w:rFonts w:ascii="宋体" w:hAnsi="宋体" w:eastAsia="宋体" w:cs="仿宋"/>
          <w:sz w:val="24"/>
          <w:szCs w:val="24"/>
        </w:rPr>
      </w:pPr>
      <w:r>
        <w:rPr>
          <w:rFonts w:hint="eastAsia" w:ascii="宋体" w:hAnsi="宋体" w:eastAsia="宋体" w:cs="仿宋"/>
          <w:sz w:val="24"/>
          <w:szCs w:val="24"/>
        </w:rPr>
        <w:t>项目编号：</w:t>
      </w:r>
    </w:p>
    <w:p>
      <w:pPr>
        <w:spacing w:after="156" w:afterLines="50" w:line="500" w:lineRule="exact"/>
        <w:rPr>
          <w:rFonts w:ascii="宋体" w:hAnsi="宋体" w:eastAsia="宋体" w:cs="仿宋"/>
          <w:sz w:val="24"/>
          <w:szCs w:val="24"/>
        </w:rPr>
      </w:pPr>
      <w:r>
        <w:rPr>
          <w:rFonts w:hint="eastAsia" w:ascii="宋体" w:hAnsi="宋体" w:eastAsia="宋体" w:cs="仿宋"/>
          <w:sz w:val="24"/>
          <w:szCs w:val="24"/>
        </w:rPr>
        <w:t>包号：</w:t>
      </w:r>
    </w:p>
    <w:p>
      <w:pPr>
        <w:spacing w:after="156" w:afterLines="50" w:line="500" w:lineRule="exact"/>
        <w:rPr>
          <w:rFonts w:ascii="宋体" w:hAnsi="宋体" w:eastAsia="宋体" w:cs="仿宋"/>
          <w:sz w:val="24"/>
          <w:szCs w:val="24"/>
        </w:rPr>
      </w:pPr>
      <w:r>
        <w:rPr>
          <w:rFonts w:hint="eastAsia" w:ascii="宋体" w:hAnsi="宋体" w:eastAsia="宋体" w:cs="仿宋"/>
          <w:sz w:val="24"/>
          <w:szCs w:val="24"/>
        </w:rPr>
        <w:t>我方自愿按照招标文件规定的各项要求向采购人提供所需服务，投标报价如下：。</w:t>
      </w:r>
    </w:p>
    <w:p>
      <w:pPr>
        <w:pStyle w:val="23"/>
        <w:spacing w:after="0"/>
        <w:ind w:firstLine="0"/>
        <w:rPr>
          <w:rFonts w:eastAsia="宋体"/>
        </w:rPr>
      </w:pPr>
    </w:p>
    <w:p>
      <w:pPr>
        <w:pStyle w:val="23"/>
        <w:spacing w:after="0"/>
        <w:rPr>
          <w:rFonts w:eastAsia="宋体"/>
        </w:rPr>
      </w:pPr>
    </w:p>
    <w:p>
      <w:pPr>
        <w:adjustRightInd w:val="0"/>
        <w:snapToGrid w:val="0"/>
        <w:spacing w:line="560" w:lineRule="exact"/>
        <w:rPr>
          <w:rFonts w:ascii="宋体" w:hAnsi="宋体" w:eastAsia="宋体" w:cs="华文仿宋"/>
          <w:sz w:val="24"/>
        </w:rPr>
      </w:pPr>
      <w:r>
        <w:rPr>
          <w:rFonts w:hint="eastAsia" w:ascii="宋体" w:hAnsi="宋体" w:eastAsia="宋体" w:cs="华文仿宋"/>
          <w:sz w:val="24"/>
        </w:rPr>
        <w:t>申请人名称</w:t>
      </w:r>
      <w:r>
        <w:rPr>
          <w:rFonts w:hint="eastAsia" w:ascii="宋体" w:hAnsi="宋体" w:eastAsia="宋体" w:cs="华文仿宋"/>
          <w:kern w:val="0"/>
          <w:sz w:val="24"/>
        </w:rPr>
        <w:t>（加盖公章）</w:t>
      </w:r>
      <w:r>
        <w:rPr>
          <w:rFonts w:hint="eastAsia" w:ascii="宋体" w:hAnsi="宋体" w:eastAsia="宋体" w:cs="华文仿宋"/>
          <w:sz w:val="24"/>
        </w:rPr>
        <w:t>：</w:t>
      </w:r>
    </w:p>
    <w:p>
      <w:pPr>
        <w:spacing w:line="560" w:lineRule="exact"/>
        <w:jc w:val="left"/>
        <w:rPr>
          <w:rFonts w:ascii="宋体" w:hAnsi="宋体" w:eastAsia="宋体"/>
          <w:sz w:val="24"/>
        </w:rPr>
      </w:pPr>
      <w:r>
        <w:rPr>
          <w:rFonts w:hint="eastAsia" w:ascii="宋体" w:hAnsi="宋体" w:eastAsia="宋体"/>
          <w:sz w:val="24"/>
        </w:rPr>
        <w:t>法定代表人/单位负责人或授权代表（签字或加盖个人印章）：XXXX</w:t>
      </w:r>
    </w:p>
    <w:p>
      <w:pPr>
        <w:pStyle w:val="9"/>
        <w:spacing w:after="0" w:line="560" w:lineRule="exact"/>
        <w:rPr>
          <w:rFonts w:ascii="宋体" w:hAnsi="宋体" w:eastAsia="宋体"/>
          <w:sz w:val="24"/>
        </w:rPr>
      </w:pPr>
      <w:r>
        <w:rPr>
          <w:rFonts w:hint="eastAsia" w:ascii="宋体" w:hAnsi="宋体" w:eastAsia="宋体"/>
          <w:sz w:val="24"/>
        </w:rPr>
        <w:t>日期：XXXX</w:t>
      </w:r>
    </w:p>
    <w:p>
      <w:pPr>
        <w:rPr>
          <w:rFonts w:ascii="宋体" w:hAnsi="宋体" w:eastAsia="宋体"/>
          <w:sz w:val="24"/>
        </w:rPr>
      </w:pPr>
      <w:r>
        <w:rPr>
          <w:rFonts w:hint="eastAsia" w:ascii="宋体" w:hAnsi="宋体" w:eastAsia="宋体"/>
          <w:sz w:val="24"/>
        </w:rPr>
        <w:br w:type="page"/>
      </w:r>
    </w:p>
    <w:p>
      <w:pPr>
        <w:pStyle w:val="3"/>
        <w:pageBreakBefore/>
        <w:spacing w:before="0" w:after="0" w:line="400" w:lineRule="exact"/>
        <w:jc w:val="center"/>
        <w:rPr>
          <w:rFonts w:ascii="宋体" w:hAnsi="宋体" w:eastAsia="宋体"/>
          <w:bCs w:val="0"/>
          <w:szCs w:val="28"/>
        </w:rPr>
      </w:pPr>
      <w:r>
        <w:rPr>
          <w:rFonts w:hint="eastAsia" w:ascii="宋体" w:hAnsi="宋体" w:eastAsia="宋体"/>
          <w:bCs w:val="0"/>
          <w:szCs w:val="28"/>
        </w:rPr>
        <w:t>九、申请人其他需要补充的资料</w:t>
      </w:r>
    </w:p>
    <w:p>
      <w:pPr>
        <w:ind w:firstLine="562" w:firstLineChars="200"/>
        <w:rPr>
          <w:rFonts w:ascii="宋体" w:hAnsi="宋体" w:eastAsia="宋体"/>
          <w:b/>
          <w:sz w:val="28"/>
          <w:szCs w:val="28"/>
        </w:rPr>
      </w:pPr>
    </w:p>
    <w:p>
      <w:pPr>
        <w:ind w:firstLine="560" w:firstLineChars="200"/>
        <w:rPr>
          <w:rFonts w:ascii="宋体" w:hAnsi="宋体" w:eastAsia="宋体"/>
          <w:bCs/>
          <w:sz w:val="28"/>
          <w:szCs w:val="28"/>
        </w:rPr>
      </w:pPr>
      <w:r>
        <w:rPr>
          <w:rFonts w:hint="eastAsia" w:ascii="宋体" w:hAnsi="宋体" w:eastAsia="宋体"/>
          <w:bCs/>
          <w:sz w:val="28"/>
          <w:szCs w:val="28"/>
        </w:rPr>
        <w:t>针对比选文件的要求，申请人认为需要提供的其它资料。例如特殊资格条件证明材料等等</w:t>
      </w:r>
    </w:p>
    <w:p>
      <w:pPr>
        <w:jc w:val="center"/>
        <w:rPr>
          <w:rFonts w:ascii="宋体" w:hAnsi="宋体" w:eastAsia="宋体"/>
          <w:bCs/>
          <w:sz w:val="28"/>
          <w:szCs w:val="28"/>
        </w:rPr>
      </w:pPr>
    </w:p>
    <w:p>
      <w:pPr>
        <w:jc w:val="center"/>
        <w:rPr>
          <w:rFonts w:ascii="宋体" w:hAnsi="宋体" w:eastAsia="宋体"/>
          <w:bCs/>
          <w:sz w:val="28"/>
          <w:szCs w:val="28"/>
        </w:rPr>
      </w:pPr>
      <w:r>
        <w:rPr>
          <w:rFonts w:hint="eastAsia" w:ascii="宋体" w:hAnsi="宋体" w:eastAsia="宋体"/>
          <w:bCs/>
          <w:sz w:val="28"/>
          <w:szCs w:val="28"/>
        </w:rPr>
        <w:t>（格式自拟）</w:t>
      </w:r>
    </w:p>
    <w:p>
      <w:pPr>
        <w:pStyle w:val="9"/>
        <w:spacing w:before="29" w:line="219" w:lineRule="auto"/>
        <w:jc w:val="center"/>
        <w:rPr>
          <w:b/>
          <w:bCs/>
          <w:spacing w:val="18"/>
          <w:sz w:val="32"/>
          <w:szCs w:val="32"/>
        </w:rPr>
      </w:pPr>
      <w:r>
        <w:rPr>
          <w:rFonts w:ascii="宋体" w:hAnsi="宋体" w:eastAsia="宋体"/>
        </w:rPr>
        <w:br w:type="page"/>
      </w:r>
      <w:r>
        <w:rPr>
          <w:b/>
          <w:bCs/>
          <w:spacing w:val="18"/>
          <w:sz w:val="32"/>
          <w:szCs w:val="32"/>
        </w:rPr>
        <w:t>采购合同</w:t>
      </w:r>
    </w:p>
    <w:p>
      <w:pPr>
        <w:pStyle w:val="9"/>
        <w:widowControl/>
        <w:kinsoku w:val="0"/>
        <w:autoSpaceDE w:val="0"/>
        <w:autoSpaceDN w:val="0"/>
        <w:adjustRightInd w:val="0"/>
        <w:snapToGrid w:val="0"/>
        <w:spacing w:line="360" w:lineRule="auto"/>
        <w:ind w:firstLine="634" w:firstLineChars="200"/>
        <w:jc w:val="left"/>
        <w:textAlignment w:val="baseline"/>
        <w:rPr>
          <w:rFonts w:ascii="宋体" w:hAnsi="宋体" w:eastAsia="宋体" w:cs="宋体"/>
          <w:b/>
          <w:bCs/>
          <w:spacing w:val="18"/>
          <w:sz w:val="28"/>
          <w:szCs w:val="28"/>
        </w:rPr>
      </w:pPr>
    </w:p>
    <w:p>
      <w:pPr>
        <w:pStyle w:val="9"/>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合同编号：</w:t>
      </w:r>
    </w:p>
    <w:p>
      <w:pPr>
        <w:pStyle w:val="9"/>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签订地点：四川省成都市郫都区安德街道彭温路399号</w:t>
      </w:r>
    </w:p>
    <w:p>
      <w:pPr>
        <w:pStyle w:val="9"/>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签订时间：2024年  月  日。</w:t>
      </w:r>
    </w:p>
    <w:p>
      <w:pPr>
        <w:pStyle w:val="9"/>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采购人（甲方）：四川铁道职业学院</w:t>
      </w:r>
    </w:p>
    <w:p>
      <w:pPr>
        <w:pStyle w:val="9"/>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供应商（乙方）:</w:t>
      </w:r>
    </w:p>
    <w:p>
      <w:pPr>
        <w:pStyle w:val="9"/>
        <w:widowControl/>
        <w:kinsoku w:val="0"/>
        <w:autoSpaceDE w:val="0"/>
        <w:autoSpaceDN w:val="0"/>
        <w:adjustRightInd w:val="0"/>
        <w:snapToGrid w:val="0"/>
        <w:spacing w:after="0"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根据《中华人民共和国政府采购法》《中华人民共和国合同法》及</w:t>
      </w:r>
      <w:r>
        <w:rPr>
          <w:rFonts w:hint="eastAsia" w:ascii="宋体" w:hAnsi="宋体" w:eastAsia="宋体" w:cs="宋体"/>
          <w:sz w:val="24"/>
          <w:szCs w:val="24"/>
          <w:u w:val="single"/>
        </w:rPr>
        <w:t xml:space="preserve">                     </w:t>
      </w:r>
      <w:r>
        <w:rPr>
          <w:rFonts w:hint="eastAsia" w:ascii="宋体" w:hAnsi="宋体" w:eastAsia="宋体" w:cs="宋体"/>
          <w:sz w:val="24"/>
          <w:szCs w:val="24"/>
        </w:rPr>
        <w:t>采购项目（项目编号：               ）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tbl>
      <w:tblPr>
        <w:tblStyle w:val="24"/>
        <w:tblW w:w="8695"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0"/>
        <w:gridCol w:w="2430"/>
        <w:gridCol w:w="1507"/>
        <w:gridCol w:w="28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8" w:hRule="atLeast"/>
        </w:trPr>
        <w:tc>
          <w:tcPr>
            <w:tcW w:w="1930" w:type="dxa"/>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服务名称</w:t>
            </w:r>
          </w:p>
        </w:tc>
        <w:tc>
          <w:tcPr>
            <w:tcW w:w="2430" w:type="dxa"/>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系统名称</w:t>
            </w:r>
          </w:p>
        </w:tc>
        <w:tc>
          <w:tcPr>
            <w:tcW w:w="1507" w:type="dxa"/>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保护等级</w:t>
            </w:r>
          </w:p>
        </w:tc>
        <w:tc>
          <w:tcPr>
            <w:tcW w:w="2828" w:type="dxa"/>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测评完成期限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93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2024年官网三级测评服务</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学院官网</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三级</w:t>
            </w:r>
          </w:p>
        </w:tc>
        <w:tc>
          <w:tcPr>
            <w:tcW w:w="2828" w:type="dxa"/>
            <w:vMerge w:val="restart"/>
            <w:tcBorders>
              <w:top w:val="single" w:color="auto" w:sz="4" w:space="0"/>
              <w:left w:val="single" w:color="auto" w:sz="4" w:space="0"/>
              <w:right w:val="single" w:color="auto" w:sz="4" w:space="0"/>
            </w:tcBorders>
            <w:vAlign w:val="center"/>
          </w:tcPr>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90天（不含2024年暑期放假时间）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93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2024年数据中心三级测评服务</w:t>
            </w:r>
          </w:p>
        </w:tc>
        <w:tc>
          <w:tcPr>
            <w:tcW w:w="2430"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数据中心</w:t>
            </w:r>
          </w:p>
        </w:tc>
        <w:tc>
          <w:tcPr>
            <w:tcW w:w="1507"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三级</w:t>
            </w:r>
          </w:p>
        </w:tc>
        <w:tc>
          <w:tcPr>
            <w:tcW w:w="2828" w:type="dxa"/>
            <w:vMerge w:val="continue"/>
            <w:tcBorders>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tc>
      </w:tr>
    </w:tbl>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备注：服务内容为：对甲方指定的信息系统进行等级保护测评并出具测评报告。具体服务内容包括：</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（1）信息系统测评，提供整改建议，并协助甲方进行安全建设整改，完成等级保护测评工作；</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出具《网络安全等级保护测评报告》，等级测评报告通过公安机关备案且提供《网络安全等级保护测评项目登记管理系统》中显示全面完成测评工作的截图佐证资料。若不能达到备案要求，须指导学校进行安全整改，并重新完成测评，直至通过备案；</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（3）其他与本次等级保护测评相关的工作；</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特别说明：本合同中四川铁道职业学院官网信息系统网络安全第三级等级测评属于复测评，成都市公安局不再重新发放《信息系统安全等级保护备案证明》证书。但服务和结果均应超过有关检测标准，通过相关行政验收、监测（如有）。</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二、合同总价</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合同总价为人民币大写：            ，即RMB￥       .00元；该合同总价已包括乙方承担的直接工程费、间接费、利润、其它摊入费（应由乙方承担的义务、责任和风险所发生的一切费用）及税费等全部费用。本合同执行期间合同总价不变，甲方无须另向乙方支付本条规定之外的其他任何费用。</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30" w:name="_Toc308164854"/>
      <w:bookmarkStart w:id="31" w:name="_Toc217446109"/>
      <w:bookmarkStart w:id="32" w:name="_Toc478038777"/>
      <w:r>
        <w:rPr>
          <w:rFonts w:hint="eastAsia" w:ascii="宋体" w:hAnsi="宋体" w:eastAsia="宋体" w:cs="宋体"/>
          <w:sz w:val="24"/>
          <w:szCs w:val="24"/>
        </w:rPr>
        <w:t>三、质量要求</w:t>
      </w:r>
      <w:bookmarkEnd w:id="30"/>
      <w:bookmarkEnd w:id="31"/>
      <w:bookmarkEnd w:id="32"/>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1、乙方在对甲方指定的信息系统进行测评中，必须严格依照《（GB/T 22239-2019）信息安全技术 网络安全等级保护基本要求》、《GB/T 28448-2019信息安全技术 信息系统安全等级保护测评要求》以及《GB/T 28449-2018信息安全技术 信息系统安全等级保护测评过程指南》等相关要求与标准执行。</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在测评过程中，为保证测评结果真实有效，甲方应协助并向乙方提供有关信息系统测评所需的文档资料，这些文档资料包括但不限于：信息系统安全等级保护备案表、网络拓扑、IP地址、业务流程、规章制度、记录表格等。甲方应根据乙方提交的测评方案和工作计划，向乙方提供工作便利，包括但不限于：进入机房的授权、管理员的配合等。</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在对甲方指定的信息系统进行测评后，依照本节第1条所列的要求和指南，甲方的信息系统不能达到要求的，乙方必须在初次出具报告时指导甲方的整改工作，包括但不限于机房环境安全、网络环境安全、服务器安全、信息系统安全、制度安全和人员安全等方面，并</w:t>
      </w:r>
      <w:r>
        <w:rPr>
          <w:rFonts w:hint="eastAsia" w:ascii="宋体" w:hAnsi="宋体" w:eastAsia="宋体" w:cs="宋体"/>
          <w:sz w:val="24"/>
          <w:szCs w:val="24"/>
          <w:lang w:eastAsia="zh-Hans"/>
        </w:rPr>
        <w:t>提出具有</w:t>
      </w:r>
      <w:r>
        <w:rPr>
          <w:rFonts w:hint="eastAsia" w:ascii="宋体" w:hAnsi="宋体" w:eastAsia="宋体" w:cs="宋体"/>
          <w:sz w:val="24"/>
          <w:szCs w:val="24"/>
        </w:rPr>
        <w:t>可操作性的整改意见。</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4、乙方保证在为甲方提供服务过程中所使用的产品、资料、技术不涉及任何第三方利益、不侵犯任何第三方的知识产权和其他权益，且不存在任何与此相关的争议，若乙方违反上述保证给甲方</w:t>
      </w:r>
      <w:r>
        <w:rPr>
          <w:rFonts w:hint="eastAsia" w:ascii="宋体" w:hAnsi="宋体" w:eastAsia="宋体" w:cs="宋体"/>
          <w:sz w:val="24"/>
          <w:szCs w:val="24"/>
          <w:lang w:eastAsia="zh-Hans"/>
        </w:rPr>
        <w:t>和第三方</w:t>
      </w:r>
      <w:r>
        <w:rPr>
          <w:rFonts w:hint="eastAsia" w:ascii="宋体" w:hAnsi="宋体" w:eastAsia="宋体" w:cs="宋体"/>
          <w:sz w:val="24"/>
          <w:szCs w:val="24"/>
        </w:rPr>
        <w:t>造成损失，乙方应负责全额赔偿。</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33" w:name="_Toc478038778"/>
      <w:bookmarkStart w:id="34" w:name="_Toc217446110"/>
      <w:bookmarkStart w:id="35" w:name="_Toc308164855"/>
      <w:r>
        <w:rPr>
          <w:rFonts w:hint="eastAsia" w:ascii="宋体" w:hAnsi="宋体" w:eastAsia="宋体" w:cs="宋体"/>
          <w:sz w:val="24"/>
          <w:szCs w:val="24"/>
        </w:rPr>
        <w:t>四、交货及验收</w:t>
      </w:r>
      <w:bookmarkEnd w:id="33"/>
      <w:bookmarkEnd w:id="34"/>
      <w:bookmarkEnd w:id="35"/>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1、乙方提交最终测评报告期限为合同签订生效后的  90  日（不含2024年暑期放假时间）内，乙方应在合同签订生效之日起  90  天（不含2024年暑期放假时间）内到甲方指定测评地点（甲方指定地点为：四川铁道职业学院图书信息中心），实施等级保护测评工作，并向甲方递交最终测评报告并通过甲方验收(如由于采购人的原因造成合同延迟签订、项目延迟整改或验收的，时间</w:t>
      </w:r>
      <w:r>
        <w:rPr>
          <w:rFonts w:hint="eastAsia" w:ascii="宋体" w:hAnsi="宋体" w:eastAsia="宋体" w:cs="宋体"/>
          <w:sz w:val="24"/>
          <w:szCs w:val="24"/>
          <w:lang w:eastAsia="zh-Hans"/>
        </w:rPr>
        <w:t>相应</w:t>
      </w:r>
      <w:r>
        <w:rPr>
          <w:rFonts w:hint="eastAsia" w:ascii="宋体" w:hAnsi="宋体" w:eastAsia="宋体" w:cs="宋体"/>
          <w:sz w:val="24"/>
          <w:szCs w:val="24"/>
        </w:rPr>
        <w:t>顺延)。</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2、验收由甲方组织，乙方配合进行：</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 乙方向甲方提交最终测评报告，甲方提交至公安机关备案通过后，甲方应及时组织验收。</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测评报告应符合同等要求，不应存在虚假、遗漏、缺陷、错误等。</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 验收时如发现所交付的测评报告不能用于公安等级测评报备及本合同规定之情形或存在虚假、遗漏、缺陷、错误者（前提条件为甲方按照乙方整改意见完成相应整改工作），甲方应做出详尽的现场记录，或由甲乙双方签署备忘录，乙方应无条件按甲方要求完善或重做并经甲方重新验收，直至达到要求，由此产生的时间延误与全部费用由乙方承担；</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 如质量验收合格，双方签署质量验收报告，签署质量验收报告之日为最终测评报告验收合格之日。</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3、乙方应将所提供测评报告的清单等资料一并交付给甲方；乙方不能完整交付测评报告及本款规定的单证和资料的，必须负责补齐，否则视为不能交货。</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如经乙方2次完善仍不能完成公安等级测评报备工作（前提条件为甲方按照乙方整改意见完成相应整改工作），甲方有权单方解除本合同，并视作乙方不能完成本服务而须支付违约金给甲方，违约金为本合同总价款的30%，若违约金不足以弥补甲方损失的，甲方还可依法要求乙方赔偿损失。</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36" w:name="_Toc308164856"/>
      <w:bookmarkStart w:id="37" w:name="_Toc478038779"/>
      <w:bookmarkStart w:id="38" w:name="_Toc217446111"/>
      <w:r>
        <w:rPr>
          <w:rFonts w:hint="eastAsia" w:ascii="宋体" w:hAnsi="宋体" w:eastAsia="宋体" w:cs="宋体"/>
          <w:sz w:val="24"/>
          <w:szCs w:val="24"/>
        </w:rPr>
        <w:t>五、付款方式</w:t>
      </w:r>
      <w:bookmarkEnd w:id="36"/>
      <w:bookmarkEnd w:id="37"/>
      <w:bookmarkEnd w:id="38"/>
      <w:bookmarkStart w:id="39" w:name="_Toc478038780"/>
      <w:bookmarkStart w:id="40" w:name="_Toc217446112"/>
      <w:bookmarkStart w:id="41" w:name="_Toc308164857"/>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1、合同采取两次付款执行。甲方收到乙方开具的合法合规的有效增值税发票等票据凭证资料后10个工作日内，支付70%（￥    .00元，人民币大写 ：        ）作为项目实施预付款。项目实施完毕经</w:t>
      </w:r>
      <w:r>
        <w:rPr>
          <w:rFonts w:hint="eastAsia" w:ascii="宋体" w:hAnsi="宋体" w:eastAsia="宋体" w:cs="宋体"/>
          <w:sz w:val="24"/>
          <w:szCs w:val="24"/>
          <w:lang w:eastAsia="zh-Hans"/>
        </w:rPr>
        <w:t>甲乙</w:t>
      </w:r>
      <w:r>
        <w:rPr>
          <w:rFonts w:hint="eastAsia" w:ascii="宋体" w:hAnsi="宋体" w:eastAsia="宋体" w:cs="宋体"/>
          <w:sz w:val="24"/>
          <w:szCs w:val="24"/>
        </w:rPr>
        <w:t>双方最终验收合格，且收到乙方开具的</w:t>
      </w:r>
      <w:r>
        <w:rPr>
          <w:rFonts w:hint="eastAsia" w:ascii="宋体" w:hAnsi="宋体" w:eastAsia="宋体" w:cs="宋体"/>
          <w:sz w:val="24"/>
          <w:szCs w:val="24"/>
          <w:lang w:eastAsia="zh-Hans"/>
        </w:rPr>
        <w:t>合法有效完整</w:t>
      </w:r>
      <w:r>
        <w:rPr>
          <w:rFonts w:hint="eastAsia" w:ascii="宋体" w:hAnsi="宋体" w:eastAsia="宋体" w:cs="宋体"/>
          <w:sz w:val="24"/>
          <w:szCs w:val="24"/>
        </w:rPr>
        <w:t>合格的项目尾款增值税发票后10个工作日内，支付余款30%（￥        元，人民币大写：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乙方须向甲方出具合法有效完整的完税增值税发票及凭证资料进行支付结算。若乙方未提供前述发票或凭证资料，或提供的发票不合法合规，凭证资料不完整等，甲方有权不予支付合同价款，并不视为甲方违约。</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六、售后服务</w:t>
      </w:r>
      <w:bookmarkEnd w:id="39"/>
      <w:bookmarkEnd w:id="40"/>
      <w:bookmarkEnd w:id="41"/>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1、质保期为最终测评报告验收合格并交付甲方后壹年，质保期内测评机构要对出具的测评报告负责，若出现有关等级保护测评报告的相关问题，乙方在接到甲方通知后4 小时内响应到场，免费提供相关咨询服务并协助甲方处理。如乙方未依约履行质保期义务，甲方有权终止合同并依约追究乙方的违约责任，违约金为本合同价款的30%，若违约金不足以弥补甲方损失的，甲方还可依法要求乙方赔偿损失，同时履约保证金不予退还乙方。</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2、服务周期为壹年，自本合同生效之日起</w:t>
      </w:r>
      <w:r>
        <w:rPr>
          <w:rFonts w:hint="eastAsia" w:ascii="宋体" w:hAnsi="宋体" w:eastAsia="宋体" w:cs="宋体"/>
          <w:sz w:val="24"/>
          <w:szCs w:val="24"/>
          <w:lang w:eastAsia="zh-Hans"/>
        </w:rPr>
        <w:t>算</w:t>
      </w:r>
      <w:r>
        <w:rPr>
          <w:rFonts w:hint="eastAsia" w:ascii="宋体" w:hAnsi="宋体" w:eastAsia="宋体" w:cs="宋体"/>
          <w:sz w:val="24"/>
          <w:szCs w:val="24"/>
        </w:rPr>
        <w:t>。服务周期内，乙方向甲方提供7*24小时等级保护和网络安全咨询服务，结合甲方实际需要经授权委托提供“官网”系统和“数据中心”系统漏洞扫描服务并出具安全评估报告。服务</w:t>
      </w:r>
      <w:r>
        <w:rPr>
          <w:rFonts w:hint="eastAsia" w:ascii="宋体" w:hAnsi="宋体" w:eastAsia="宋体" w:cs="宋体"/>
          <w:sz w:val="24"/>
          <w:szCs w:val="24"/>
          <w:lang w:eastAsia="zh-Hans"/>
        </w:rPr>
        <w:t>期</w:t>
      </w:r>
      <w:r>
        <w:rPr>
          <w:rFonts w:hint="eastAsia" w:ascii="宋体" w:hAnsi="宋体" w:eastAsia="宋体" w:cs="宋体"/>
          <w:sz w:val="24"/>
          <w:szCs w:val="24"/>
        </w:rPr>
        <w:t>内，乙方未依约履行服务，且经沟通仍拒绝履行，甲方有权终止合同并依约追究乙方的违约责任，违约金为本合同价款的5%，若违约金不足以弥补甲方损失的，甲方还可依法要求乙方赔偿损失。同时履约保证金不予退还乙方。</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3、乙方须指派专人（联系人：       电话：        ）负责与甲方联系售后服务事宜。乙方更换联系人需提前30日告知甲方，并经甲方同意，否则视为乙方违约，应承担本合同价款5%的违约金。</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4、乙方免费</w:t>
      </w:r>
      <w:r>
        <w:rPr>
          <w:rFonts w:hint="eastAsia" w:ascii="宋体" w:hAnsi="宋体" w:eastAsia="宋体" w:cs="宋体"/>
          <w:sz w:val="24"/>
          <w:szCs w:val="24"/>
          <w:lang w:eastAsia="zh-Hans"/>
        </w:rPr>
        <w:t>向甲方</w:t>
      </w:r>
      <w:r>
        <w:rPr>
          <w:rFonts w:hint="eastAsia" w:ascii="宋体" w:hAnsi="宋体" w:eastAsia="宋体" w:cs="宋体"/>
          <w:sz w:val="24"/>
          <w:szCs w:val="24"/>
        </w:rPr>
        <w:t>提供信息安全意识及教育培训。</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42" w:name="_Toc308164858"/>
      <w:bookmarkStart w:id="43" w:name="_Toc478038781"/>
      <w:bookmarkStart w:id="44" w:name="_Toc217446113"/>
      <w:r>
        <w:rPr>
          <w:rFonts w:hint="eastAsia" w:ascii="宋体" w:hAnsi="宋体" w:eastAsia="宋体" w:cs="宋体"/>
          <w:sz w:val="24"/>
          <w:szCs w:val="24"/>
        </w:rPr>
        <w:t>七、违约责任</w:t>
      </w:r>
      <w:bookmarkEnd w:id="42"/>
      <w:bookmarkEnd w:id="43"/>
      <w:bookmarkEnd w:id="44"/>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1、甲方违约责任</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 甲方无正当理由拒收《网络安全等级保护测评报告》的，甲方应偿付合同总价百分之 5 的违约金；</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 甲方</w:t>
      </w:r>
      <w:r>
        <w:rPr>
          <w:rFonts w:hint="eastAsia" w:ascii="宋体" w:hAnsi="宋体" w:eastAsia="宋体" w:cs="宋体"/>
          <w:sz w:val="24"/>
          <w:szCs w:val="24"/>
          <w:lang w:eastAsia="zh-Hans"/>
        </w:rPr>
        <w:t>无正当理由</w:t>
      </w:r>
      <w:r>
        <w:rPr>
          <w:rFonts w:hint="eastAsia" w:ascii="宋体" w:hAnsi="宋体" w:eastAsia="宋体" w:cs="宋体"/>
          <w:sz w:val="24"/>
          <w:szCs w:val="24"/>
        </w:rPr>
        <w:t>逾期支付款项的，除应及时付足款项外，应向乙方偿付欠款总额万分之 5  /天的违约金；逾期付款超过 30 天的，乙方有权终止合同；</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 甲方偿付的违约金不足以弥补乙方损失的，还应按乙方损失尚未弥补的部分，支付赔偿金给乙方。</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2、乙方违约责任</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（1）乙方交付的《网络安全等级保护测评报告》不能满足公安等级测评报备标准要求，乙方应向甲方支付合同总价的百分之 5 的违约金，并须在合同规定的或甲方指定的交货时间内更换合格的测评报告给甲方，否则，视作乙方不能交付测评报告而违约，还应按本条本款下述第“（2）”项规定由乙方偿付违约金给甲方。</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（2）非甲方整改时间过长而导致乙方不能交付《网络安全等级保护测评报告》或逾期交付《网络安全等级保护测评报告》而违约的，除应及时交付测评报告外，应向甲方偿付合同总价款万分之 5  /天的违约金；不能交付或逾期交付超过30天，甲方有权单方解除合同，乙方则应按合同总价的百分之 5 的款额向甲方偿付违约金，并须全额退还甲方已经付给乙方的款项及其利息。此次服务期限不包含整改时间，如因甲方整改时间过长导致工期延长双方可就服务时间另行协商，作为本合同的补充协议，如若甲方拒不整改，乙方可依据《网络安全等级保护测评机构管理办法》相关要求按照最后一次测评结果出具《网络安全等级保护测评报告》并将结果报公安机关。</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保证本合同测评报告的权利无瑕疵，包括测评报告知识产权等权利无瑕疵。如任何第三方向甲方主张权利或索赔，或经法院（或仲裁机构）裁决有权对上述测评报告主张权利或处罚，乙方除应向甲方返还已收款项本息外，还应另按合同总价的百分之 10  向甲方支付违约金并赔偿因此给甲方造成的一切损失。</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（4）乙方偿付的违约金不足以弥补甲方损失的，还应按甲方损失尚未弥补的部分，支付赔偿金给甲方，甲方损失包括但不限于为实现权利产生的诉讼费、律师费、差旅费等。</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（5）如测评结果为 “差”（不能满足等级保护要求），在乙方的指导下，甲方未能完成整改工作，最终</w:t>
      </w:r>
      <w:r>
        <w:rPr>
          <w:rFonts w:hint="eastAsia" w:ascii="宋体" w:hAnsi="宋体" w:eastAsia="宋体" w:cs="宋体"/>
          <w:sz w:val="24"/>
          <w:szCs w:val="24"/>
          <w:lang w:eastAsia="zh-Hans"/>
        </w:rPr>
        <w:t>因甲方原因</w:t>
      </w:r>
      <w:r>
        <w:rPr>
          <w:rFonts w:hint="eastAsia" w:ascii="宋体" w:hAnsi="宋体" w:eastAsia="宋体" w:cs="宋体"/>
          <w:sz w:val="24"/>
          <w:szCs w:val="24"/>
        </w:rPr>
        <w:t>导致测评结论为“差”</w:t>
      </w:r>
      <w:r>
        <w:rPr>
          <w:rFonts w:hint="eastAsia" w:ascii="宋体" w:hAnsi="宋体" w:eastAsia="宋体" w:cs="宋体"/>
          <w:sz w:val="24"/>
          <w:szCs w:val="24"/>
          <w:lang w:eastAsia="zh-Hans"/>
        </w:rPr>
        <w:t>的</w:t>
      </w:r>
      <w:r>
        <w:rPr>
          <w:rFonts w:hint="eastAsia" w:ascii="宋体" w:hAnsi="宋体" w:eastAsia="宋体" w:cs="宋体"/>
          <w:sz w:val="24"/>
          <w:szCs w:val="24"/>
        </w:rPr>
        <w:t>，乙方不承担责任。</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45" w:name="_Toc217446114"/>
      <w:bookmarkStart w:id="46" w:name="_Toc478038782"/>
      <w:bookmarkStart w:id="47" w:name="_Toc308164859"/>
      <w:r>
        <w:rPr>
          <w:rFonts w:hint="eastAsia" w:ascii="宋体" w:hAnsi="宋体" w:eastAsia="宋体" w:cs="宋体"/>
          <w:sz w:val="24"/>
          <w:szCs w:val="24"/>
        </w:rPr>
        <w:t>八、争议解决办法</w:t>
      </w:r>
      <w:bookmarkEnd w:id="45"/>
      <w:bookmarkEnd w:id="46"/>
      <w:bookmarkEnd w:id="47"/>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1、因测评报告的质量问题发生争议，由相关部门进行质量鉴定。测评报告符合标准的，鉴定费由甲方承担；测评报告不符合质量标准的，鉴定费由乙方承担。</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2、合同履行期间,若</w:t>
      </w:r>
      <w:r>
        <w:rPr>
          <w:rFonts w:hint="eastAsia" w:ascii="宋体" w:hAnsi="宋体" w:eastAsia="宋体" w:cs="宋体"/>
          <w:sz w:val="24"/>
          <w:szCs w:val="24"/>
          <w:lang w:eastAsia="zh-Hans"/>
        </w:rPr>
        <w:t>甲乙</w:t>
      </w:r>
      <w:r>
        <w:rPr>
          <w:rFonts w:hint="eastAsia" w:ascii="宋体" w:hAnsi="宋体" w:eastAsia="宋体" w:cs="宋体"/>
          <w:sz w:val="24"/>
          <w:szCs w:val="24"/>
        </w:rPr>
        <w:t>双方发生争议，可协商或由有关部门调解解决，协商或调解不成的，由合同履行地即甲方指定测评地点有管辖权的法院解决。败诉方应承担胜诉方为解决争议支付的包括律师费、诉讼费、保全费在内的一切费用。</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bookmarkStart w:id="48" w:name="_Toc308164860"/>
      <w:bookmarkStart w:id="49" w:name="_Toc478038783"/>
      <w:r>
        <w:rPr>
          <w:rFonts w:hint="eastAsia" w:ascii="宋体" w:hAnsi="宋体" w:eastAsia="宋体" w:cs="宋体"/>
          <w:sz w:val="24"/>
          <w:szCs w:val="24"/>
        </w:rPr>
        <w:t>九、合同生效及其他</w:t>
      </w:r>
      <w:bookmarkEnd w:id="48"/>
      <w:bookmarkEnd w:id="49"/>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1、合同经双方法定代表人或授权委托代理人签字并加盖单位公章后生效，未尽事宜双方友好协商解决。</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2、合同执行中涉及采购资金和采购内容修改或补充的，须经相关部门审批，并签书面补充协议报监督管理部门备案，方可作为主合同不可分割的一部分。</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3、本合同一式玖份，每份具有同等法律效力，甲方执陆份，乙方执叁份。</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本合同附件包括项目磋商文件、项目修改澄清文件、项目响应文件、成交通知书及前述文件中提到的附件。本合同附件内容与本合同不一致的，以本合同约定为准；附件内容之间不一致的，由甲方按照最优于甲方签订本合同目的的原则选择确认适用内容。</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5、甲乙双方因履行本合同而相互发出或者提供的所有通知、文件、资料，均以甲乙双方页尾所列地址送达，一方如果迁址或者变更联系人、联系电话，应当书面通知对方。</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十、合同附件</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附件一：《保密协议书》</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附件二：《现场测评授权书》</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附件三：《 渗透测试授权书》</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附件一</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等保测评保密协议</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甲方：四川铁道职业学院</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乙方：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甲、乙双方根据《中华人民共和国反不正当竞争法》和国家、地方有关规定，就双方商务、技术等私密保护达成如下协议：</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一、保密内容和范围</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1.项目所涉及的商务洽谈内容（含服务价格）及技术交流获得提供的与本项目有关的技术资料、需求分析等内容。</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2.与项目有关的设计方案、实施方案、测试记录、测试成果等内容。</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3.乙方在合同期内因工作行为所接触和掌握到的甲方技术成果、设备配置、网络搭建、技术文档等相关技术资料以及甲方的全部非公开信息。</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4.乙方在履行本合同过程中所创造产生的所有知识产权。</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5.《中华人民共和国保密法》和国家、地方有关规定的保守国家秘密的内容。</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二、双方的权利和义务</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1.乙方必须严格遵守甲方的保密制度，严禁泄漏国家和商业秘密及技术秘密。</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2未经甲或乙方书面同意，任何一方不得将任何商业秘密及技术秘密向本项目无关的第三方泄露或复制传递，但向监管部门以及根据国家法律法规规定和政府有关部门要求提供除外。</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三、协议期限</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1.甲、乙双方签署的服务合同终止后，本协议项下的保密义务并不必然终止，直至相关保密信息非因承担保密义务的一方原因成为公开信息时止或双方按照下款规定终止保密协议。</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2.服务合同终止后，双方若协商一致终止本保密协议，则本协议终止。单方面终止无效。</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本保密协议经甲乙双方加盖公章后生效。</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 四川铁道职业学院（盖章）</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日期：        年    月    日   </w:t>
      </w:r>
      <w:bookmarkStart w:id="50" w:name="_Hlt525572247"/>
      <w:bookmarkEnd w:id="50"/>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乙方：                （盖章）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日期：        年    月    日</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240" w:firstLineChars="100"/>
        <w:jc w:val="left"/>
        <w:textAlignment w:val="baseline"/>
        <w:rPr>
          <w:rFonts w:ascii="宋体" w:hAnsi="宋体" w:eastAsia="宋体" w:cs="宋体"/>
          <w:sz w:val="24"/>
          <w:szCs w:val="24"/>
        </w:rPr>
      </w:pPr>
      <w:r>
        <w:rPr>
          <w:rFonts w:hint="eastAsia" w:ascii="宋体" w:hAnsi="宋体" w:eastAsia="宋体" w:cs="宋体"/>
          <w:sz w:val="24"/>
          <w:szCs w:val="24"/>
        </w:rPr>
        <w:t xml:space="preserve">附件二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现场测评授权书</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甲方：四川铁道职业学院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乙方：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甲方委托乙方对合同中所涉及测评服务对象开展等级保护测评服务（包括安全基线检测和渗透测试等等级保护规范要求，以下简称“测评”）。</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为确保测评工作的顺利进行，并保证甲方信息系统所涉及的操作系统、应用系统及网络等的文档和数据的安全性，甲乙双方就下述事宜达成一致，特制定本协议。</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一、甲方责任</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1、甲方提供准确的信息系统信息（包括应用系统、网络系统、服务器系统、数据及备份系统、相关文档资料的基本信息），并安排专人全程配合测评工作，确保测评工作的顺利进行。</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2、甲方允许乙方在测评过程中对所获取的信息进行必要的记录。</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3、甲方应在测评工作中配合乙方测评工作，以确保乙方所获取信息的真实性。</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4、甲方应在测评前对相关数据进行必要的备份。</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5、甲方在未经乙方允许的情况下，不得泄露乙方在测评工作中所使用的测试方法、技术及相关输出。</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二、乙方责任</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1、对于乙方在测评过程中所获取的任何信息，仅在编写报告时使用。</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2、在未经授权的情况下，乙方不得向任何单位提供测评过程中所获取的信息。</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3、乙方在测评过程中应尽量避免影响甲方业务的正常运行，若出现意外操作而导致的异常则应立刻通知甲方并积极配合协商解决。</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4、在测试完成后，乙方承诺不对外泄露甲方测试信息。</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5、测评现场工作可能会给被测系统带来如下风险：</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网络性能变慢；</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网络设备性能变慢或停机；</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主机服务器性能变慢或停机；</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应用系统性能变慢或下线；</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数据库数据可能会丢失。</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鉴于以上风险，被测单位应提前做好各项数据、设备和系统的备份工作和应急响应工作。并请被测单位派遣人员全程陪同进行机房和信息系统以及渗透测评相关工作。</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 四川铁道职业学院（盖章）</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日期：        年    月    日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乙方：                 （盖章）</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日期：        年    月    日</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240" w:firstLineChars="100"/>
        <w:jc w:val="left"/>
        <w:textAlignment w:val="baseline"/>
        <w:rPr>
          <w:rFonts w:ascii="宋体" w:hAnsi="宋体" w:eastAsia="宋体" w:cs="宋体"/>
          <w:sz w:val="24"/>
          <w:szCs w:val="24"/>
        </w:rPr>
      </w:pPr>
      <w:r>
        <w:rPr>
          <w:rFonts w:hint="eastAsia" w:ascii="宋体" w:hAnsi="宋体" w:eastAsia="宋体" w:cs="宋体"/>
          <w:sz w:val="24"/>
          <w:szCs w:val="24"/>
        </w:rPr>
        <w:t xml:space="preserve">附件三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渗透测试授权书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甲方:四川铁道职业学院</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 xml:space="preserve">乙方: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甲方委托乙方对甲方的“官网”和“数据中心”系统进行_漏洞扫描、渗透测试_安全测试(以下简称“安全测试”)。</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为确保测试的顺利进行,并保证甲方系统、应用及网络的稳定性和数据的安全性,甲乙双方就下述事宜达成一致,特制订本协议。</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一、甲方责任</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1.甲方提供准确的被测试系统的IP或域名信息。</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2.甲方允许乙方在测试过程中对所获取的信息进行必要的记录。</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3.若甲方要求乙方提供相关测试工具,则甲方不可使用乙方所提供工具从事危害网络安全的非法行为,否则引起的一切责任由甲方负责。</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4.甲方在未经乙方允许的情况下,不得泄露乙方在工作过程中所使用的工具及相关输出。</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二、乙方责任</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1.对于乙方在测试过程中所获取的任何信息,仅在编写报告时使用。</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2.在未经甲方授权的情况下,乙方不得向任何个人或单位提供测试过程中所获取的信息。</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3.乙方在测试过程中应尽量避免影响甲方业务的正常运转,若出现意外操作而导致异常则应立刻通知甲方并积极配合协商解决。</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4.在测试完成后,乙方承诺不对外泄露甲方测试信息。</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5.乙方承诺在取消授权后,销毁所有涉及授权的机密资料。</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三、风险告知</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渗透测试现场工作可能会给被测系统带来如下风险：</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1.网络性能变慢。</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2.网络设备性能变慢或停机。</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3.主机服务器性能变慢或停机。</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4.应用系统性能变慢或下线。</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5.数据库数据可能会丢失。</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6.其他风险。</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r>
        <w:rPr>
          <w:rFonts w:hint="eastAsia" w:ascii="宋体" w:hAnsi="宋体" w:eastAsia="宋体" w:cs="宋体"/>
          <w:sz w:val="24"/>
          <w:szCs w:val="24"/>
        </w:rPr>
        <w:t>鉴于以上风险，请被测单位做好各项数据、设备和系统的备份工作和应急响应工作。并请被测单位派遣人员全程陪同渗透测评工作。</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甲方:四川铁道职业学院</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乙方: </w:t>
      </w:r>
    </w:p>
    <w:p>
      <w:pPr>
        <w:widowControl/>
        <w:kinsoku w:val="0"/>
        <w:autoSpaceDE w:val="0"/>
        <w:autoSpaceDN w:val="0"/>
        <w:adjustRightInd w:val="0"/>
        <w:snapToGrid w:val="0"/>
        <w:spacing w:line="360" w:lineRule="auto"/>
        <w:ind w:firstLine="480" w:firstLineChars="200"/>
        <w:jc w:val="left"/>
        <w:textAlignment w:val="baseline"/>
        <w:rPr>
          <w:rFonts w:ascii="宋体" w:hAnsi="宋体" w:eastAsia="宋体" w:cs="宋体"/>
          <w:sz w:val="24"/>
          <w:szCs w:val="24"/>
        </w:rPr>
      </w:pPr>
    </w:p>
    <w:p>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甲方代表签字(签章)：</w:t>
      </w:r>
      <w:r>
        <w:rPr>
          <w:rFonts w:hint="eastAsia" w:ascii="宋体" w:hAnsi="宋体" w:eastAsia="宋体" w:cs="宋体"/>
          <w:sz w:val="24"/>
          <w:szCs w:val="24"/>
        </w:rPr>
        <w:tab/>
      </w:r>
      <w:r>
        <w:rPr>
          <w:rFonts w:hint="eastAsia" w:ascii="宋体" w:hAnsi="宋体" w:eastAsia="宋体" w:cs="宋体"/>
          <w:sz w:val="24"/>
          <w:szCs w:val="24"/>
        </w:rPr>
        <w:t xml:space="preserve">                    乙方代表签字(签章)：</w:t>
      </w:r>
    </w:p>
    <w:p>
      <w:pPr>
        <w:widowControl/>
        <w:kinsoku w:val="0"/>
        <w:autoSpaceDE w:val="0"/>
        <w:autoSpaceDN w:val="0"/>
        <w:adjustRightInd w:val="0"/>
        <w:snapToGrid w:val="0"/>
        <w:spacing w:line="360" w:lineRule="auto"/>
        <w:jc w:val="left"/>
        <w:textAlignment w:val="baseline"/>
        <w:rPr>
          <w:rFonts w:ascii="宋体" w:hAnsi="宋体" w:eastAsia="宋体" w:cs="宋体"/>
          <w:sz w:val="24"/>
          <w:szCs w:val="24"/>
        </w:rPr>
      </w:pPr>
      <w:r>
        <w:rPr>
          <w:rFonts w:hint="eastAsia" w:ascii="宋体" w:hAnsi="宋体" w:eastAsia="宋体" w:cs="宋体"/>
          <w:sz w:val="24"/>
          <w:szCs w:val="24"/>
        </w:rPr>
        <w:t>年     月     日</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年     月     日</w:t>
      </w:r>
    </w:p>
    <w:sectPr>
      <w:headerReference r:id="rId5" w:type="default"/>
      <w:footerReference r:id="rId6" w:type="default"/>
      <w:pgSz w:w="11906" w:h="16838"/>
      <w:pgMar w:top="1701" w:right="1474" w:bottom="1440" w:left="1588"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74" w:lineRule="auto"/>
      <w:ind w:left="4649"/>
      <w:rPr>
        <w:sz w:val="24"/>
        <w:szCs w:val="24"/>
      </w:rPr>
    </w:pPr>
    <w:r>
      <w:rPr>
        <w:spacing w:val="-7"/>
        <w:w w:val="54"/>
        <w:sz w:val="24"/>
        <w:szCs w:val="24"/>
      </w:rPr>
      <w:t>—</w:t>
    </w:r>
    <w:r>
      <w:rPr>
        <w:spacing w:val="-19"/>
        <w:w w:val="94"/>
        <w:sz w:val="24"/>
        <w:szCs w:val="24"/>
      </w:rPr>
      <w:t>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1601266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26667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drawing>
        <wp:inline distT="0" distB="0" distL="0" distR="0">
          <wp:extent cx="2018030" cy="469265"/>
          <wp:effectExtent l="0" t="0" r="1270" b="6985"/>
          <wp:docPr id="2911781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78197"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18030" cy="46926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89B0C"/>
    <w:multiLevelType w:val="singleLevel"/>
    <w:tmpl w:val="10289B0C"/>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55A4FD20"/>
    <w:multiLevelType w:val="singleLevel"/>
    <w:tmpl w:val="55A4FD20"/>
    <w:lvl w:ilvl="0" w:tentative="0">
      <w:start w:val="8"/>
      <w:numFmt w:val="chineseCounting"/>
      <w:suff w:val="nothing"/>
      <w:lvlText w:val="%1、"/>
      <w:lvlJc w:val="left"/>
      <w:rPr>
        <w:rFonts w:hint="eastAsia"/>
      </w:rPr>
    </w:lvl>
  </w:abstractNum>
  <w:abstractNum w:abstractNumId="3">
    <w:nsid w:val="5E74B9EE"/>
    <w:multiLevelType w:val="singleLevel"/>
    <w:tmpl w:val="5E74B9EE"/>
    <w:lvl w:ilvl="0" w:tentative="0">
      <w:start w:val="1"/>
      <w:numFmt w:val="chineseCounting"/>
      <w:suff w:val="nothing"/>
      <w:lvlText w:val="%1、"/>
      <w:lvlJc w:val="left"/>
      <w:rPr>
        <w:rFonts w:hint="eastAsia"/>
      </w:rPr>
    </w:lvl>
  </w:abstractNum>
  <w:abstractNum w:abstractNumId="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4MDdiNTczMDY5YzkyODlhZjc3MmVlMzFhZTAyZTgifQ=="/>
  </w:docVars>
  <w:rsids>
    <w:rsidRoot w:val="00CD5AE8"/>
    <w:rsid w:val="00004412"/>
    <w:rsid w:val="000432F2"/>
    <w:rsid w:val="00060E70"/>
    <w:rsid w:val="00067298"/>
    <w:rsid w:val="000A3154"/>
    <w:rsid w:val="000B07A6"/>
    <w:rsid w:val="00161120"/>
    <w:rsid w:val="001802E8"/>
    <w:rsid w:val="001D075C"/>
    <w:rsid w:val="001D5AF5"/>
    <w:rsid w:val="00211B0D"/>
    <w:rsid w:val="0024094B"/>
    <w:rsid w:val="002503E2"/>
    <w:rsid w:val="002623F4"/>
    <w:rsid w:val="002F6A92"/>
    <w:rsid w:val="003069FB"/>
    <w:rsid w:val="00324A0A"/>
    <w:rsid w:val="003569BD"/>
    <w:rsid w:val="00357EDC"/>
    <w:rsid w:val="003738CF"/>
    <w:rsid w:val="003834B9"/>
    <w:rsid w:val="003E3E28"/>
    <w:rsid w:val="00401650"/>
    <w:rsid w:val="004318DE"/>
    <w:rsid w:val="00440DEA"/>
    <w:rsid w:val="00492A62"/>
    <w:rsid w:val="004B790C"/>
    <w:rsid w:val="004E4695"/>
    <w:rsid w:val="004F5587"/>
    <w:rsid w:val="00505F07"/>
    <w:rsid w:val="00522E34"/>
    <w:rsid w:val="00530ABF"/>
    <w:rsid w:val="00542BBB"/>
    <w:rsid w:val="00563636"/>
    <w:rsid w:val="005A403D"/>
    <w:rsid w:val="0060271B"/>
    <w:rsid w:val="00643ADE"/>
    <w:rsid w:val="006544EC"/>
    <w:rsid w:val="006556EA"/>
    <w:rsid w:val="006A3D57"/>
    <w:rsid w:val="006B5D0A"/>
    <w:rsid w:val="006C3663"/>
    <w:rsid w:val="0070549E"/>
    <w:rsid w:val="007778BD"/>
    <w:rsid w:val="007B6243"/>
    <w:rsid w:val="007E7A49"/>
    <w:rsid w:val="007F0BFD"/>
    <w:rsid w:val="00856815"/>
    <w:rsid w:val="008613D5"/>
    <w:rsid w:val="008A7701"/>
    <w:rsid w:val="008E5B26"/>
    <w:rsid w:val="00914ECD"/>
    <w:rsid w:val="00924D4F"/>
    <w:rsid w:val="00957BCC"/>
    <w:rsid w:val="00985A74"/>
    <w:rsid w:val="009B7C41"/>
    <w:rsid w:val="009C3D5D"/>
    <w:rsid w:val="009D176B"/>
    <w:rsid w:val="009F51C1"/>
    <w:rsid w:val="00A00917"/>
    <w:rsid w:val="00A47E42"/>
    <w:rsid w:val="00A66191"/>
    <w:rsid w:val="00AD4593"/>
    <w:rsid w:val="00AE68DC"/>
    <w:rsid w:val="00B13195"/>
    <w:rsid w:val="00B6606D"/>
    <w:rsid w:val="00B94575"/>
    <w:rsid w:val="00B94CE5"/>
    <w:rsid w:val="00BB6994"/>
    <w:rsid w:val="00BC53E6"/>
    <w:rsid w:val="00C03CD7"/>
    <w:rsid w:val="00C05841"/>
    <w:rsid w:val="00C65CAF"/>
    <w:rsid w:val="00C84C28"/>
    <w:rsid w:val="00C95ADD"/>
    <w:rsid w:val="00CD5AE8"/>
    <w:rsid w:val="00CF5D5B"/>
    <w:rsid w:val="00D072FA"/>
    <w:rsid w:val="00D47E8F"/>
    <w:rsid w:val="00D50F3F"/>
    <w:rsid w:val="00D55951"/>
    <w:rsid w:val="00D937EB"/>
    <w:rsid w:val="00DA48A9"/>
    <w:rsid w:val="00DB3C4D"/>
    <w:rsid w:val="00DB635A"/>
    <w:rsid w:val="00DC351D"/>
    <w:rsid w:val="00E04EA3"/>
    <w:rsid w:val="00E15BF1"/>
    <w:rsid w:val="00E250D7"/>
    <w:rsid w:val="00E55BBD"/>
    <w:rsid w:val="00E85DDD"/>
    <w:rsid w:val="00EB0361"/>
    <w:rsid w:val="00EB5667"/>
    <w:rsid w:val="00EC7A71"/>
    <w:rsid w:val="00F34F45"/>
    <w:rsid w:val="00F53C48"/>
    <w:rsid w:val="00F934B2"/>
    <w:rsid w:val="00FD4A63"/>
    <w:rsid w:val="013303CB"/>
    <w:rsid w:val="018F2EE2"/>
    <w:rsid w:val="026F1557"/>
    <w:rsid w:val="02810D87"/>
    <w:rsid w:val="02BA54DB"/>
    <w:rsid w:val="02EA4873"/>
    <w:rsid w:val="031A72A8"/>
    <w:rsid w:val="039C0A0A"/>
    <w:rsid w:val="03BB6210"/>
    <w:rsid w:val="03CE5F43"/>
    <w:rsid w:val="04500237"/>
    <w:rsid w:val="049A5E25"/>
    <w:rsid w:val="05373674"/>
    <w:rsid w:val="05597A8E"/>
    <w:rsid w:val="0659586C"/>
    <w:rsid w:val="06641F4F"/>
    <w:rsid w:val="0781507A"/>
    <w:rsid w:val="07BD3408"/>
    <w:rsid w:val="07F55C66"/>
    <w:rsid w:val="087921F6"/>
    <w:rsid w:val="08E6728C"/>
    <w:rsid w:val="09104908"/>
    <w:rsid w:val="09500754"/>
    <w:rsid w:val="09526CCE"/>
    <w:rsid w:val="09657974"/>
    <w:rsid w:val="0A2543E3"/>
    <w:rsid w:val="0A751832"/>
    <w:rsid w:val="0ABF0394"/>
    <w:rsid w:val="0AE129A7"/>
    <w:rsid w:val="0B5331D2"/>
    <w:rsid w:val="0B8B296C"/>
    <w:rsid w:val="0BAB7BC8"/>
    <w:rsid w:val="0BD52F0E"/>
    <w:rsid w:val="0D156991"/>
    <w:rsid w:val="0D2E0060"/>
    <w:rsid w:val="0DBF68FD"/>
    <w:rsid w:val="0DC878B8"/>
    <w:rsid w:val="0E0B47ED"/>
    <w:rsid w:val="0E83792A"/>
    <w:rsid w:val="0E945864"/>
    <w:rsid w:val="0EC3241C"/>
    <w:rsid w:val="0F462A38"/>
    <w:rsid w:val="0FAB0EE6"/>
    <w:rsid w:val="1032785A"/>
    <w:rsid w:val="10F7015B"/>
    <w:rsid w:val="12152FD8"/>
    <w:rsid w:val="123553DF"/>
    <w:rsid w:val="12ED5CBA"/>
    <w:rsid w:val="1379754E"/>
    <w:rsid w:val="13ED5F7E"/>
    <w:rsid w:val="14F766D0"/>
    <w:rsid w:val="14F90946"/>
    <w:rsid w:val="15415E49"/>
    <w:rsid w:val="15A31BC4"/>
    <w:rsid w:val="15F86E50"/>
    <w:rsid w:val="161E1652"/>
    <w:rsid w:val="16421E79"/>
    <w:rsid w:val="16CF5E02"/>
    <w:rsid w:val="176127D3"/>
    <w:rsid w:val="17A0779F"/>
    <w:rsid w:val="18075128"/>
    <w:rsid w:val="184C3483"/>
    <w:rsid w:val="1A3D2A44"/>
    <w:rsid w:val="1A417B90"/>
    <w:rsid w:val="1B5508A0"/>
    <w:rsid w:val="1B9273FE"/>
    <w:rsid w:val="1BAB04C0"/>
    <w:rsid w:val="1BC161D3"/>
    <w:rsid w:val="1BF84678"/>
    <w:rsid w:val="1D75282A"/>
    <w:rsid w:val="1DCA10D2"/>
    <w:rsid w:val="1DEC587F"/>
    <w:rsid w:val="1E7352AD"/>
    <w:rsid w:val="1EAA20B1"/>
    <w:rsid w:val="1EF8161D"/>
    <w:rsid w:val="1F3F5AEF"/>
    <w:rsid w:val="1F550E6F"/>
    <w:rsid w:val="1F811C64"/>
    <w:rsid w:val="1FDF7646"/>
    <w:rsid w:val="20062169"/>
    <w:rsid w:val="20EA3839"/>
    <w:rsid w:val="20F546B7"/>
    <w:rsid w:val="21132D8F"/>
    <w:rsid w:val="21D50045"/>
    <w:rsid w:val="21E549B1"/>
    <w:rsid w:val="22022E9B"/>
    <w:rsid w:val="22B10AB2"/>
    <w:rsid w:val="22E30F16"/>
    <w:rsid w:val="23525A07"/>
    <w:rsid w:val="239857CE"/>
    <w:rsid w:val="23BC14BC"/>
    <w:rsid w:val="23C46957"/>
    <w:rsid w:val="244E0945"/>
    <w:rsid w:val="24A73F1B"/>
    <w:rsid w:val="251F61A7"/>
    <w:rsid w:val="255D7BA8"/>
    <w:rsid w:val="25B6018D"/>
    <w:rsid w:val="25F9028E"/>
    <w:rsid w:val="2624159B"/>
    <w:rsid w:val="27767BD4"/>
    <w:rsid w:val="27D61735"/>
    <w:rsid w:val="28A6098D"/>
    <w:rsid w:val="28FD65EE"/>
    <w:rsid w:val="2920604A"/>
    <w:rsid w:val="2936274F"/>
    <w:rsid w:val="29B669AE"/>
    <w:rsid w:val="29F424DA"/>
    <w:rsid w:val="2A6308E4"/>
    <w:rsid w:val="2C5A7AC4"/>
    <w:rsid w:val="2CB01DDA"/>
    <w:rsid w:val="2CE9283B"/>
    <w:rsid w:val="2D2F4913"/>
    <w:rsid w:val="2D83275B"/>
    <w:rsid w:val="2E47276C"/>
    <w:rsid w:val="2EB931C8"/>
    <w:rsid w:val="2F4800A8"/>
    <w:rsid w:val="2F915CE5"/>
    <w:rsid w:val="2FA51FF8"/>
    <w:rsid w:val="2FBD0A96"/>
    <w:rsid w:val="2FE06533"/>
    <w:rsid w:val="302C0287"/>
    <w:rsid w:val="3075353C"/>
    <w:rsid w:val="30843362"/>
    <w:rsid w:val="315471D8"/>
    <w:rsid w:val="32CE237E"/>
    <w:rsid w:val="335039CF"/>
    <w:rsid w:val="33774A8E"/>
    <w:rsid w:val="33D1136B"/>
    <w:rsid w:val="33FC5905"/>
    <w:rsid w:val="34B32468"/>
    <w:rsid w:val="34BA3DC1"/>
    <w:rsid w:val="34BC2E77"/>
    <w:rsid w:val="357C4F4F"/>
    <w:rsid w:val="35D703D8"/>
    <w:rsid w:val="35E514C7"/>
    <w:rsid w:val="36201D7F"/>
    <w:rsid w:val="362A2931"/>
    <w:rsid w:val="365E28A7"/>
    <w:rsid w:val="368816D2"/>
    <w:rsid w:val="36E26191"/>
    <w:rsid w:val="370B658B"/>
    <w:rsid w:val="374C0952"/>
    <w:rsid w:val="37BF5665"/>
    <w:rsid w:val="3838115B"/>
    <w:rsid w:val="38726196"/>
    <w:rsid w:val="387C7014"/>
    <w:rsid w:val="3891486E"/>
    <w:rsid w:val="38A87E0A"/>
    <w:rsid w:val="39602492"/>
    <w:rsid w:val="39775E88"/>
    <w:rsid w:val="397F6DBC"/>
    <w:rsid w:val="3A57182E"/>
    <w:rsid w:val="3A993EAE"/>
    <w:rsid w:val="3ACE22AB"/>
    <w:rsid w:val="3AE66A84"/>
    <w:rsid w:val="3B003F2D"/>
    <w:rsid w:val="3B245E6D"/>
    <w:rsid w:val="3C2A189E"/>
    <w:rsid w:val="3C44609B"/>
    <w:rsid w:val="3C495460"/>
    <w:rsid w:val="3C53327F"/>
    <w:rsid w:val="3CD76F0F"/>
    <w:rsid w:val="3D8B0579"/>
    <w:rsid w:val="3E456B72"/>
    <w:rsid w:val="3F9335C1"/>
    <w:rsid w:val="3FF4574B"/>
    <w:rsid w:val="4048214A"/>
    <w:rsid w:val="40D5722F"/>
    <w:rsid w:val="414334DE"/>
    <w:rsid w:val="423821FE"/>
    <w:rsid w:val="423C1CEE"/>
    <w:rsid w:val="423D5A66"/>
    <w:rsid w:val="425132C0"/>
    <w:rsid w:val="429531AD"/>
    <w:rsid w:val="42B0448A"/>
    <w:rsid w:val="42D31F27"/>
    <w:rsid w:val="43C81360"/>
    <w:rsid w:val="44290050"/>
    <w:rsid w:val="442C18EF"/>
    <w:rsid w:val="446A056C"/>
    <w:rsid w:val="44FE43E9"/>
    <w:rsid w:val="453C51A9"/>
    <w:rsid w:val="46333408"/>
    <w:rsid w:val="46720332"/>
    <w:rsid w:val="468C0D6B"/>
    <w:rsid w:val="477E30E1"/>
    <w:rsid w:val="47F6649C"/>
    <w:rsid w:val="488C5052"/>
    <w:rsid w:val="48D013E2"/>
    <w:rsid w:val="490D0C92"/>
    <w:rsid w:val="49A60395"/>
    <w:rsid w:val="49F0036A"/>
    <w:rsid w:val="4A170E76"/>
    <w:rsid w:val="4A39529F"/>
    <w:rsid w:val="4A4E6A63"/>
    <w:rsid w:val="4ADC2FC7"/>
    <w:rsid w:val="4B1120BD"/>
    <w:rsid w:val="4C30416B"/>
    <w:rsid w:val="4C453E95"/>
    <w:rsid w:val="4CF3569F"/>
    <w:rsid w:val="4D265A75"/>
    <w:rsid w:val="4DD46FDF"/>
    <w:rsid w:val="4DF74D1B"/>
    <w:rsid w:val="4EB701BF"/>
    <w:rsid w:val="4F6C1739"/>
    <w:rsid w:val="4FDC241B"/>
    <w:rsid w:val="503E6C32"/>
    <w:rsid w:val="50BB7907"/>
    <w:rsid w:val="5261632C"/>
    <w:rsid w:val="52630BD1"/>
    <w:rsid w:val="528374C6"/>
    <w:rsid w:val="530A434B"/>
    <w:rsid w:val="536C2ABD"/>
    <w:rsid w:val="53E57E13"/>
    <w:rsid w:val="54A61249"/>
    <w:rsid w:val="55067F3A"/>
    <w:rsid w:val="5519759C"/>
    <w:rsid w:val="551B5E9C"/>
    <w:rsid w:val="55204F89"/>
    <w:rsid w:val="55D32512"/>
    <w:rsid w:val="55FF2978"/>
    <w:rsid w:val="564231F4"/>
    <w:rsid w:val="57160F93"/>
    <w:rsid w:val="57F329F7"/>
    <w:rsid w:val="58022C3B"/>
    <w:rsid w:val="580C3AB9"/>
    <w:rsid w:val="58501BF8"/>
    <w:rsid w:val="595219A0"/>
    <w:rsid w:val="5994098E"/>
    <w:rsid w:val="59A33FA9"/>
    <w:rsid w:val="5A2D3540"/>
    <w:rsid w:val="5AC11CB2"/>
    <w:rsid w:val="5B8F47E5"/>
    <w:rsid w:val="5BD13050"/>
    <w:rsid w:val="5BD415B9"/>
    <w:rsid w:val="5C013209"/>
    <w:rsid w:val="5DD45079"/>
    <w:rsid w:val="5E124648"/>
    <w:rsid w:val="5E9345EC"/>
    <w:rsid w:val="5FFC5373"/>
    <w:rsid w:val="610772EA"/>
    <w:rsid w:val="610C4B2A"/>
    <w:rsid w:val="613B6943"/>
    <w:rsid w:val="616C1F97"/>
    <w:rsid w:val="618648DC"/>
    <w:rsid w:val="61B52ACC"/>
    <w:rsid w:val="61BA6334"/>
    <w:rsid w:val="62BB2364"/>
    <w:rsid w:val="62CA0DEA"/>
    <w:rsid w:val="6317781A"/>
    <w:rsid w:val="637C5F97"/>
    <w:rsid w:val="639037F0"/>
    <w:rsid w:val="63BF40D6"/>
    <w:rsid w:val="64542A70"/>
    <w:rsid w:val="646A2293"/>
    <w:rsid w:val="648B6D5C"/>
    <w:rsid w:val="64DD4218"/>
    <w:rsid w:val="6554084E"/>
    <w:rsid w:val="6572372B"/>
    <w:rsid w:val="65EC4433"/>
    <w:rsid w:val="66083B12"/>
    <w:rsid w:val="6639016F"/>
    <w:rsid w:val="66434B4A"/>
    <w:rsid w:val="668D2269"/>
    <w:rsid w:val="66F9345B"/>
    <w:rsid w:val="671E7365"/>
    <w:rsid w:val="67987117"/>
    <w:rsid w:val="679C66B0"/>
    <w:rsid w:val="68060AC4"/>
    <w:rsid w:val="68554B6D"/>
    <w:rsid w:val="68EA39A3"/>
    <w:rsid w:val="69020CEC"/>
    <w:rsid w:val="6A745C1A"/>
    <w:rsid w:val="6AD5702B"/>
    <w:rsid w:val="6B87372B"/>
    <w:rsid w:val="6C765DD8"/>
    <w:rsid w:val="6CB56076"/>
    <w:rsid w:val="6CB843E9"/>
    <w:rsid w:val="6CE556DE"/>
    <w:rsid w:val="6D231231"/>
    <w:rsid w:val="6D4713C4"/>
    <w:rsid w:val="6D837F22"/>
    <w:rsid w:val="6DF17581"/>
    <w:rsid w:val="6EE25A7E"/>
    <w:rsid w:val="6F671833"/>
    <w:rsid w:val="6FDF3411"/>
    <w:rsid w:val="708E13B0"/>
    <w:rsid w:val="70BD4D8A"/>
    <w:rsid w:val="7169267E"/>
    <w:rsid w:val="73BE1CB4"/>
    <w:rsid w:val="73CC2623"/>
    <w:rsid w:val="73D80876"/>
    <w:rsid w:val="73E27DCB"/>
    <w:rsid w:val="745F0A3D"/>
    <w:rsid w:val="75994A53"/>
    <w:rsid w:val="760F2C9B"/>
    <w:rsid w:val="765E4A8E"/>
    <w:rsid w:val="77A86F03"/>
    <w:rsid w:val="780E2ADE"/>
    <w:rsid w:val="78175E36"/>
    <w:rsid w:val="78327B50"/>
    <w:rsid w:val="79102FB2"/>
    <w:rsid w:val="79F521A7"/>
    <w:rsid w:val="7A17211E"/>
    <w:rsid w:val="7B001352"/>
    <w:rsid w:val="7B7F61CD"/>
    <w:rsid w:val="7CEC65E1"/>
    <w:rsid w:val="7D080444"/>
    <w:rsid w:val="7D2E53CE"/>
    <w:rsid w:val="7D382AD7"/>
    <w:rsid w:val="7DB163E5"/>
    <w:rsid w:val="7E16455B"/>
    <w:rsid w:val="7F2D5F40"/>
    <w:rsid w:val="7F2F6AE8"/>
    <w:rsid w:val="7F6230B6"/>
    <w:rsid w:val="7FF5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autoRedefine/>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6"/>
    <w:autoRedefine/>
    <w:qFormat/>
    <w:uiPriority w:val="0"/>
    <w:pPr>
      <w:keepNext/>
      <w:keepLines/>
      <w:spacing w:before="120" w:after="120"/>
      <w:outlineLvl w:val="1"/>
    </w:pPr>
    <w:rPr>
      <w:rFonts w:ascii="Arial" w:hAnsi="Arial" w:eastAsia="仿宋"/>
      <w:b/>
      <w:bCs/>
      <w:sz w:val="28"/>
      <w:szCs w:val="32"/>
    </w:rPr>
  </w:style>
  <w:style w:type="paragraph" w:styleId="4">
    <w:name w:val="heading 3"/>
    <w:basedOn w:val="1"/>
    <w:next w:val="1"/>
    <w:link w:val="37"/>
    <w:autoRedefine/>
    <w:qFormat/>
    <w:uiPriority w:val="0"/>
    <w:pPr>
      <w:keepNext/>
      <w:keepLines/>
      <w:spacing w:before="120" w:after="120"/>
      <w:outlineLvl w:val="2"/>
    </w:pPr>
    <w:rPr>
      <w:rFonts w:eastAsia="仿宋"/>
      <w:b/>
      <w:sz w:val="30"/>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autoRedefine/>
    <w:qFormat/>
    <w:uiPriority w:val="99"/>
    <w:pPr>
      <w:ind w:left="420" w:leftChars="200"/>
    </w:pPr>
  </w:style>
  <w:style w:type="paragraph" w:styleId="6">
    <w:name w:val="Normal Indent"/>
    <w:basedOn w:val="1"/>
    <w:autoRedefine/>
    <w:qFormat/>
    <w:uiPriority w:val="0"/>
    <w:pPr>
      <w:ind w:firstLine="420" w:firstLineChars="200"/>
    </w:pPr>
  </w:style>
  <w:style w:type="paragraph" w:styleId="7">
    <w:name w:val="annotation text"/>
    <w:basedOn w:val="1"/>
    <w:link w:val="39"/>
    <w:autoRedefine/>
    <w:qFormat/>
    <w:uiPriority w:val="0"/>
    <w:pPr>
      <w:jc w:val="left"/>
    </w:pPr>
  </w:style>
  <w:style w:type="paragraph" w:styleId="8">
    <w:name w:val="Body Text 3"/>
    <w:basedOn w:val="1"/>
    <w:autoRedefine/>
    <w:qFormat/>
    <w:uiPriority w:val="0"/>
    <w:pPr>
      <w:spacing w:after="120"/>
    </w:pPr>
    <w:rPr>
      <w:sz w:val="16"/>
    </w:rPr>
  </w:style>
  <w:style w:type="paragraph" w:styleId="9">
    <w:name w:val="Body Text"/>
    <w:basedOn w:val="1"/>
    <w:link w:val="38"/>
    <w:autoRedefine/>
    <w:qFormat/>
    <w:uiPriority w:val="0"/>
    <w:pPr>
      <w:spacing w:after="120"/>
    </w:pPr>
  </w:style>
  <w:style w:type="paragraph" w:styleId="10">
    <w:name w:val="Body Text Indent"/>
    <w:basedOn w:val="1"/>
    <w:autoRedefine/>
    <w:qFormat/>
    <w:uiPriority w:val="99"/>
    <w:pPr>
      <w:tabs>
        <w:tab w:val="left" w:pos="1500"/>
      </w:tabs>
      <w:ind w:left="-180"/>
    </w:pPr>
    <w:rPr>
      <w:rFonts w:ascii="宋体" w:hAnsi="宋体"/>
      <w:sz w:val="24"/>
    </w:rPr>
  </w:style>
  <w:style w:type="paragraph" w:styleId="11">
    <w:name w:val="Plain Text"/>
    <w:basedOn w:val="1"/>
    <w:autoRedefine/>
    <w:qFormat/>
    <w:uiPriority w:val="0"/>
    <w:rPr>
      <w:rFonts w:hAnsi="Courier New"/>
    </w:rPr>
  </w:style>
  <w:style w:type="paragraph" w:styleId="12">
    <w:name w:val="Date"/>
    <w:basedOn w:val="1"/>
    <w:next w:val="1"/>
    <w:link w:val="53"/>
    <w:autoRedefine/>
    <w:semiHidden/>
    <w:unhideWhenUsed/>
    <w:qFormat/>
    <w:uiPriority w:val="99"/>
    <w:pPr>
      <w:ind w:left="100" w:leftChars="2500"/>
    </w:pPr>
  </w:style>
  <w:style w:type="paragraph" w:styleId="13">
    <w:name w:val="Body Text Indent 2"/>
    <w:basedOn w:val="1"/>
    <w:link w:val="40"/>
    <w:autoRedefine/>
    <w:qFormat/>
    <w:uiPriority w:val="0"/>
    <w:pPr>
      <w:ind w:firstLine="630"/>
    </w:pPr>
    <w:rPr>
      <w:sz w:val="32"/>
    </w:rPr>
  </w:style>
  <w:style w:type="paragraph" w:styleId="14">
    <w:name w:val="Balloon Text"/>
    <w:basedOn w:val="1"/>
    <w:link w:val="56"/>
    <w:autoRedefine/>
    <w:semiHidden/>
    <w:unhideWhenUsed/>
    <w:qFormat/>
    <w:uiPriority w:val="99"/>
    <w:rPr>
      <w:sz w:val="18"/>
      <w:szCs w:val="18"/>
    </w:rPr>
  </w:style>
  <w:style w:type="paragraph" w:styleId="15">
    <w:name w:val="footer"/>
    <w:basedOn w:val="1"/>
    <w:link w:val="34"/>
    <w:autoRedefine/>
    <w:unhideWhenUsed/>
    <w:qFormat/>
    <w:uiPriority w:val="0"/>
    <w:pPr>
      <w:tabs>
        <w:tab w:val="center" w:pos="4153"/>
        <w:tab w:val="right" w:pos="8306"/>
      </w:tabs>
      <w:snapToGrid w:val="0"/>
      <w:jc w:val="left"/>
    </w:pPr>
    <w:rPr>
      <w:sz w:val="18"/>
      <w:szCs w:val="18"/>
    </w:rPr>
  </w:style>
  <w:style w:type="paragraph" w:styleId="16">
    <w:name w:val="header"/>
    <w:basedOn w:val="1"/>
    <w:link w:val="3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0"/>
  </w:style>
  <w:style w:type="paragraph" w:styleId="18">
    <w:name w:val="Subtitle"/>
    <w:basedOn w:val="1"/>
    <w:next w:val="1"/>
    <w:link w:val="41"/>
    <w:autoRedefine/>
    <w:qFormat/>
    <w:uiPriority w:val="0"/>
    <w:rPr>
      <w:sz w:val="28"/>
    </w:rPr>
  </w:style>
  <w:style w:type="paragraph" w:styleId="19">
    <w:name w:val="Body Text Indent 3"/>
    <w:basedOn w:val="1"/>
    <w:autoRedefine/>
    <w:qFormat/>
    <w:uiPriority w:val="0"/>
    <w:pPr>
      <w:spacing w:after="156" w:afterLines="50" w:line="560" w:lineRule="exact"/>
      <w:ind w:firstLine="420"/>
    </w:pPr>
    <w:rPr>
      <w:sz w:val="32"/>
    </w:rPr>
  </w:style>
  <w:style w:type="paragraph" w:styleId="20">
    <w:name w:val="Body Text 2"/>
    <w:basedOn w:val="1"/>
    <w:autoRedefine/>
    <w:qFormat/>
    <w:uiPriority w:val="0"/>
    <w:pPr>
      <w:spacing w:line="480" w:lineRule="auto"/>
    </w:pPr>
    <w:rPr>
      <w:rFonts w:ascii="Times New Roman"/>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2">
    <w:name w:val="annotation subject"/>
    <w:basedOn w:val="7"/>
    <w:next w:val="7"/>
    <w:link w:val="54"/>
    <w:autoRedefine/>
    <w:semiHidden/>
    <w:unhideWhenUsed/>
    <w:qFormat/>
    <w:uiPriority w:val="99"/>
    <w:rPr>
      <w:b/>
      <w:bCs/>
    </w:rPr>
  </w:style>
  <w:style w:type="paragraph" w:styleId="23">
    <w:name w:val="Body Text First Indent"/>
    <w:basedOn w:val="9"/>
    <w:link w:val="42"/>
    <w:autoRedefine/>
    <w:qFormat/>
    <w:uiPriority w:val="0"/>
    <w:pPr>
      <w:spacing w:line="360" w:lineRule="auto"/>
      <w:ind w:firstLine="420"/>
    </w:pPr>
    <w:rPr>
      <w:rFonts w:ascii="宋体" w:hAnsi="宋体"/>
      <w:sz w:val="24"/>
    </w:rPr>
  </w:style>
  <w:style w:type="table" w:styleId="25">
    <w:name w:val="Table Grid"/>
    <w:basedOn w:val="2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autoRedefine/>
    <w:qFormat/>
    <w:uiPriority w:val="0"/>
  </w:style>
  <w:style w:type="character" w:styleId="28">
    <w:name w:val="annotation reference"/>
    <w:basedOn w:val="26"/>
    <w:autoRedefine/>
    <w:semiHidden/>
    <w:unhideWhenUsed/>
    <w:qFormat/>
    <w:uiPriority w:val="99"/>
    <w:rPr>
      <w:sz w:val="21"/>
      <w:szCs w:val="21"/>
    </w:rPr>
  </w:style>
  <w:style w:type="paragraph" w:styleId="29">
    <w:name w:val="No Spacing"/>
    <w:basedOn w:val="1"/>
    <w:next w:val="1"/>
    <w:autoRedefine/>
    <w:unhideWhenUsed/>
    <w:qFormat/>
    <w:uiPriority w:val="0"/>
    <w:rPr>
      <w:rFonts w:ascii="Calibri" w:hAnsi="Calibri"/>
    </w:rPr>
  </w:style>
  <w:style w:type="paragraph" w:customStyle="1" w:styleId="30">
    <w:name w:val="标题 5（有编号）（绿盟科技）"/>
    <w:basedOn w:val="31"/>
    <w:next w:val="32"/>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1">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3">
    <w:name w:val="页眉 字符"/>
    <w:basedOn w:val="26"/>
    <w:link w:val="16"/>
    <w:autoRedefine/>
    <w:qFormat/>
    <w:uiPriority w:val="99"/>
    <w:rPr>
      <w:sz w:val="18"/>
      <w:szCs w:val="18"/>
    </w:rPr>
  </w:style>
  <w:style w:type="character" w:customStyle="1" w:styleId="34">
    <w:name w:val="页脚 字符"/>
    <w:basedOn w:val="26"/>
    <w:link w:val="15"/>
    <w:autoRedefine/>
    <w:qFormat/>
    <w:uiPriority w:val="99"/>
    <w:rPr>
      <w:sz w:val="18"/>
      <w:szCs w:val="18"/>
    </w:rPr>
  </w:style>
  <w:style w:type="character" w:customStyle="1" w:styleId="35">
    <w:name w:val="标题 1 字符"/>
    <w:basedOn w:val="26"/>
    <w:link w:val="2"/>
    <w:autoRedefine/>
    <w:qFormat/>
    <w:uiPriority w:val="99"/>
    <w:rPr>
      <w:b/>
      <w:bCs/>
      <w:kern w:val="44"/>
      <w:sz w:val="44"/>
      <w:szCs w:val="44"/>
    </w:rPr>
  </w:style>
  <w:style w:type="character" w:customStyle="1" w:styleId="36">
    <w:name w:val="标题 2 字符"/>
    <w:basedOn w:val="26"/>
    <w:link w:val="3"/>
    <w:autoRedefine/>
    <w:qFormat/>
    <w:uiPriority w:val="0"/>
    <w:rPr>
      <w:rFonts w:ascii="Arial" w:hAnsi="Arial" w:eastAsia="仿宋"/>
      <w:b/>
      <w:bCs/>
      <w:sz w:val="28"/>
      <w:szCs w:val="32"/>
    </w:rPr>
  </w:style>
  <w:style w:type="character" w:customStyle="1" w:styleId="37">
    <w:name w:val="标题 3 字符"/>
    <w:basedOn w:val="26"/>
    <w:link w:val="4"/>
    <w:autoRedefine/>
    <w:qFormat/>
    <w:uiPriority w:val="0"/>
    <w:rPr>
      <w:rFonts w:eastAsia="仿宋"/>
      <w:b/>
      <w:sz w:val="30"/>
    </w:rPr>
  </w:style>
  <w:style w:type="character" w:customStyle="1" w:styleId="38">
    <w:name w:val="正文文本 字符"/>
    <w:basedOn w:val="26"/>
    <w:link w:val="9"/>
    <w:autoRedefine/>
    <w:qFormat/>
    <w:uiPriority w:val="0"/>
  </w:style>
  <w:style w:type="character" w:customStyle="1" w:styleId="39">
    <w:name w:val="批注文字 字符"/>
    <w:basedOn w:val="26"/>
    <w:link w:val="7"/>
    <w:autoRedefine/>
    <w:qFormat/>
    <w:uiPriority w:val="0"/>
  </w:style>
  <w:style w:type="character" w:customStyle="1" w:styleId="40">
    <w:name w:val="正文文本缩进 2 字符"/>
    <w:basedOn w:val="26"/>
    <w:link w:val="13"/>
    <w:autoRedefine/>
    <w:qFormat/>
    <w:uiPriority w:val="0"/>
    <w:rPr>
      <w:sz w:val="32"/>
    </w:rPr>
  </w:style>
  <w:style w:type="character" w:customStyle="1" w:styleId="41">
    <w:name w:val="副标题 字符"/>
    <w:basedOn w:val="26"/>
    <w:link w:val="18"/>
    <w:autoRedefine/>
    <w:qFormat/>
    <w:uiPriority w:val="0"/>
    <w:rPr>
      <w:sz w:val="28"/>
    </w:rPr>
  </w:style>
  <w:style w:type="character" w:customStyle="1" w:styleId="42">
    <w:name w:val="正文文本首行缩进 字符"/>
    <w:basedOn w:val="38"/>
    <w:link w:val="23"/>
    <w:autoRedefine/>
    <w:qFormat/>
    <w:uiPriority w:val="0"/>
    <w:rPr>
      <w:rFonts w:ascii="宋体" w:hAnsi="宋体"/>
      <w:sz w:val="24"/>
    </w:rPr>
  </w:style>
  <w:style w:type="paragraph" w:customStyle="1" w:styleId="43">
    <w:name w:val="13、表格内居中正文"/>
    <w:basedOn w:val="1"/>
    <w:autoRedefine/>
    <w:qFormat/>
    <w:uiPriority w:val="0"/>
    <w:pPr>
      <w:wordWrap w:val="0"/>
      <w:topLinePunct/>
      <w:spacing w:line="360" w:lineRule="exact"/>
      <w:jc w:val="center"/>
    </w:pPr>
    <w:rPr>
      <w:rFonts w:ascii="宋体" w:hAnsi="宋体" w:eastAsia="宋体"/>
    </w:rPr>
  </w:style>
  <w:style w:type="paragraph" w:customStyle="1" w:styleId="44">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5">
    <w:name w:val="表格"/>
    <w:basedOn w:val="1"/>
    <w:autoRedefine/>
    <w:qFormat/>
    <w:uiPriority w:val="0"/>
    <w:pPr>
      <w:spacing w:line="400" w:lineRule="exact"/>
    </w:pPr>
    <w:rPr>
      <w:sz w:val="24"/>
      <w:szCs w:val="24"/>
    </w:rPr>
  </w:style>
  <w:style w:type="paragraph" w:customStyle="1" w:styleId="46">
    <w:name w:val="样式 首行缩进:  2 字符"/>
    <w:basedOn w:val="1"/>
    <w:autoRedefine/>
    <w:qFormat/>
    <w:uiPriority w:val="0"/>
    <w:pPr>
      <w:spacing w:line="400" w:lineRule="exact"/>
      <w:ind w:firstLine="200" w:firstLineChars="200"/>
    </w:pPr>
    <w:rPr>
      <w:rFonts w:cs="宋体"/>
      <w:sz w:val="24"/>
    </w:rPr>
  </w:style>
  <w:style w:type="paragraph" w:customStyle="1" w:styleId="47">
    <w:name w:val="列出段落1"/>
    <w:basedOn w:val="1"/>
    <w:autoRedefine/>
    <w:qFormat/>
    <w:uiPriority w:val="0"/>
    <w:pPr>
      <w:ind w:firstLine="420" w:firstLineChars="200"/>
    </w:pPr>
    <w:rPr>
      <w:szCs w:val="24"/>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BodyText"/>
    <w:next w:val="1"/>
    <w:autoRedefine/>
    <w:qFormat/>
    <w:uiPriority w:val="0"/>
    <w:pPr>
      <w:spacing w:after="120" w:line="460" w:lineRule="exact"/>
      <w:ind w:firstLine="643"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50">
    <w:name w:val="font31"/>
    <w:autoRedefine/>
    <w:qFormat/>
    <w:uiPriority w:val="0"/>
    <w:rPr>
      <w:rFonts w:hint="eastAsia" w:ascii="宋体" w:hAnsi="宋体" w:eastAsia="宋体" w:cs="宋体"/>
      <w:b/>
      <w:color w:val="000000"/>
      <w:sz w:val="22"/>
      <w:szCs w:val="22"/>
      <w:u w:val="none"/>
    </w:rPr>
  </w:style>
  <w:style w:type="character" w:customStyle="1" w:styleId="51">
    <w:name w:val="font21"/>
    <w:autoRedefine/>
    <w:qFormat/>
    <w:uiPriority w:val="0"/>
    <w:rPr>
      <w:rFonts w:hint="eastAsia" w:ascii="宋体" w:hAnsi="宋体" w:eastAsia="宋体" w:cs="宋体"/>
      <w:color w:val="000000"/>
      <w:sz w:val="20"/>
      <w:szCs w:val="20"/>
      <w:u w:val="none"/>
    </w:rPr>
  </w:style>
  <w:style w:type="character" w:customStyle="1" w:styleId="52">
    <w:name w:val="font81"/>
    <w:basedOn w:val="26"/>
    <w:autoRedefine/>
    <w:qFormat/>
    <w:uiPriority w:val="0"/>
    <w:rPr>
      <w:rFonts w:hint="eastAsia" w:ascii="宋体" w:hAnsi="宋体" w:eastAsia="宋体" w:cs="宋体"/>
      <w:b/>
      <w:color w:val="000000"/>
      <w:sz w:val="22"/>
      <w:szCs w:val="22"/>
      <w:u w:val="none"/>
    </w:rPr>
  </w:style>
  <w:style w:type="character" w:customStyle="1" w:styleId="53">
    <w:name w:val="日期 字符"/>
    <w:basedOn w:val="26"/>
    <w:link w:val="12"/>
    <w:autoRedefine/>
    <w:semiHidden/>
    <w:qFormat/>
    <w:uiPriority w:val="99"/>
    <w:rPr>
      <w:kern w:val="2"/>
      <w:sz w:val="21"/>
      <w:szCs w:val="22"/>
    </w:rPr>
  </w:style>
  <w:style w:type="character" w:customStyle="1" w:styleId="54">
    <w:name w:val="批注主题 字符"/>
    <w:basedOn w:val="39"/>
    <w:link w:val="22"/>
    <w:autoRedefine/>
    <w:semiHidden/>
    <w:qFormat/>
    <w:uiPriority w:val="99"/>
    <w:rPr>
      <w:b/>
      <w:bCs/>
      <w:kern w:val="2"/>
      <w:sz w:val="21"/>
      <w:szCs w:val="22"/>
    </w:rPr>
  </w:style>
  <w:style w:type="paragraph" w:customStyle="1" w:styleId="55">
    <w:name w:val="Table Paragraph"/>
    <w:autoRedefine/>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56">
    <w:name w:val="批注框文本 字符"/>
    <w:basedOn w:val="26"/>
    <w:link w:val="14"/>
    <w:autoRedefine/>
    <w:semiHidden/>
    <w:qFormat/>
    <w:uiPriority w:val="99"/>
    <w:rPr>
      <w:kern w:val="2"/>
      <w:sz w:val="18"/>
      <w:szCs w:val="18"/>
    </w:rPr>
  </w:style>
  <w:style w:type="character" w:customStyle="1" w:styleId="57">
    <w:name w:val="font11"/>
    <w:basedOn w:val="26"/>
    <w:autoRedefine/>
    <w:qFormat/>
    <w:uiPriority w:val="0"/>
    <w:rPr>
      <w:rFonts w:hint="eastAsia" w:ascii="宋体" w:hAnsi="宋体" w:eastAsia="宋体" w:cs="宋体"/>
      <w:color w:val="000000"/>
      <w:sz w:val="21"/>
      <w:szCs w:val="21"/>
      <w:u w:val="none"/>
    </w:rPr>
  </w:style>
  <w:style w:type="paragraph" w:styleId="58">
    <w:name w:val="List Paragraph"/>
    <w:basedOn w:val="1"/>
    <w:autoRedefine/>
    <w:qFormat/>
    <w:uiPriority w:val="99"/>
    <w:pPr>
      <w:ind w:firstLine="420" w:firstLineChars="200"/>
    </w:pPr>
  </w:style>
  <w:style w:type="table" w:customStyle="1" w:styleId="59">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60">
    <w:name w:val="正文首行缩进两字符"/>
    <w:basedOn w:val="1"/>
    <w:qFormat/>
    <w:uiPriority w:val="0"/>
    <w:pPr>
      <w:spacing w:line="360" w:lineRule="auto"/>
      <w:ind w:firstLine="200" w:firstLineChars="200"/>
    </w:pPr>
  </w:style>
  <w:style w:type="character" w:customStyle="1" w:styleId="61">
    <w:name w:val="font01"/>
    <w:basedOn w:val="26"/>
    <w:qFormat/>
    <w:uiPriority w:val="0"/>
    <w:rPr>
      <w:rFonts w:hint="eastAsia" w:ascii="宋体" w:hAnsi="宋体" w:eastAsia="宋体" w:cs="宋体"/>
      <w:color w:val="000000"/>
      <w:sz w:val="24"/>
      <w:szCs w:val="24"/>
      <w:u w:val="none"/>
    </w:rPr>
  </w:style>
  <w:style w:type="paragraph" w:customStyle="1" w:styleId="62">
    <w:name w:val="Table Text"/>
    <w:basedOn w:val="1"/>
    <w:semiHidden/>
    <w:qFormat/>
    <w:uiPriority w:val="0"/>
    <w:rPr>
      <w:rFonts w:ascii="Arial" w:hAnsi="Arial" w:eastAsia="Arial" w:cs="Arial"/>
      <w:szCs w:val="21"/>
      <w:lang w:eastAsia="en-US"/>
    </w:rPr>
  </w:style>
  <w:style w:type="paragraph" w:customStyle="1" w:styleId="63">
    <w:name w:val="小四正文"/>
    <w:basedOn w:val="1"/>
    <w:next w:val="1"/>
    <w:qFormat/>
    <w:locked/>
    <w:uiPriority w:val="99"/>
    <w:pPr>
      <w:spacing w:line="360" w:lineRule="auto"/>
      <w:ind w:firstLine="200" w:firstLineChars="200"/>
    </w:pPr>
    <w:rPr>
      <w:rFonts w:eastAsia="宋体"/>
      <w:sz w:val="24"/>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20B2A-8D57-474B-9B48-C1E67028539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51</Pages>
  <Words>23697</Words>
  <Characters>24304</Characters>
  <Lines>187</Lines>
  <Paragraphs>52</Paragraphs>
  <TotalTime>26</TotalTime>
  <ScaleCrop>false</ScaleCrop>
  <LinksUpToDate>false</LinksUpToDate>
  <CharactersWithSpaces>24831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2023-05-30T09:40:00Z</dcterms:created>
  <dc:creator>wang mingfu</dc:creator>
  <cp:lastModifiedBy>Administrator</cp:lastModifiedBy>
  <dcterms:modified xsi:type="dcterms:W3CDTF">2024-06-19T01:36:53Z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30BF2A90811447149A0BC9FD83390EB0_13</vt:lpwstr>
  </property>
</Properties>
</file>