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7</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30"/>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四川铁道职业学院拟对生活垃圾分类收集点改造项目进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rPr>
        <w:t>生活垃圾分类收集点改造项目</w:t>
      </w:r>
    </w:p>
    <w:p>
      <w:p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二、项目编号：</w:t>
      </w:r>
      <w:r>
        <w:rPr>
          <w:rFonts w:hint="eastAsia" w:ascii="宋体" w:hAnsi="宋体" w:eastAsia="宋体" w:cs="Times New Roman"/>
          <w:sz w:val="24"/>
          <w:szCs w:val="24"/>
        </w:rPr>
        <w:t>CTZY-CG-2024033</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本次比选公告在四川铁道职业学院官网（https://www.scrc.org.cn/）发布。 </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w:t>
      </w:r>
      <w:r>
        <w:rPr>
          <w:rFonts w:ascii="宋体" w:hAnsi="宋体" w:eastAsia="宋体" w:cs="Times New Roman"/>
          <w:sz w:val="24"/>
          <w:szCs w:val="24"/>
        </w:rPr>
        <w:t>年</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 xml:space="preserve"> </w:t>
      </w:r>
      <w:r>
        <w:rPr>
          <w:rFonts w:ascii="宋体" w:hAnsi="宋体" w:eastAsia="宋体" w:cs="Times New Roman"/>
          <w:sz w:val="24"/>
          <w:szCs w:val="24"/>
        </w:rPr>
        <w:t>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 xml:space="preserve"> </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bookmarkStart w:id="30" w:name="_GoBack"/>
      <w:bookmarkEnd w:id="30"/>
    </w:p>
    <w:p>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成都郫都区安德街道彭温路</w:t>
      </w:r>
      <w:r>
        <w:rPr>
          <w:rFonts w:ascii="宋体" w:hAnsi="宋体" w:eastAsia="宋体" w:cs="Times New Roman"/>
          <w:sz w:val="24"/>
          <w:szCs w:val="24"/>
        </w:rPr>
        <w:t>399号四川铁道职业学院基建后勤办公区</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室</w:t>
      </w:r>
      <w:r>
        <w:rPr>
          <w:rFonts w:hint="eastAsia" w:ascii="宋体" w:hAnsi="宋体" w:eastAsia="宋体" w:cs="Times New Roman"/>
          <w:sz w:val="24"/>
          <w:szCs w:val="24"/>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人：贺老师、赵老师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23677"/>
      <w:bookmarkStart w:id="4" w:name="_Toc1814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4"/>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rPr>
            </w:pPr>
            <w:r>
              <w:rPr>
                <w:rFonts w:hint="eastAsia" w:ascii="宋体" w:hAnsi="宋体" w:eastAsia="宋体" w:cs="Times New Roman"/>
                <w:kern w:val="0"/>
                <w:sz w:val="22"/>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4"/>
              <w:spacing w:line="360" w:lineRule="exact"/>
              <w:ind w:left="210" w:leftChars="100"/>
              <w:jc w:val="both"/>
              <w:rPr>
                <w:lang w:val="zh-CN"/>
              </w:rPr>
            </w:pPr>
            <w:r>
              <w:rPr>
                <w:rFonts w:hint="eastAsia"/>
                <w:lang w:val="zh-CN"/>
              </w:rPr>
              <w:t>人民币</w:t>
            </w:r>
            <w:r>
              <w:rPr>
                <w:rFonts w:hint="eastAsia"/>
              </w:rPr>
              <w:t>8</w:t>
            </w:r>
            <w:r>
              <w:rPr>
                <w:rFonts w:hint="eastAsia"/>
                <w:lang w:val="zh-CN"/>
              </w:rPr>
              <w:t>万元</w:t>
            </w:r>
          </w:p>
          <w:p>
            <w:pPr>
              <w:pStyle w:val="44"/>
              <w:spacing w:line="360" w:lineRule="exact"/>
              <w:ind w:left="210" w:leftChars="100"/>
              <w:jc w:val="both"/>
              <w:rPr>
                <w:rFonts w:cstheme="minorBidi"/>
                <w:bCs/>
                <w:kern w:val="2"/>
                <w:sz w:val="21"/>
                <w:szCs w:val="21"/>
                <w:lang w:val="zh-CN"/>
              </w:rPr>
            </w:pPr>
            <w:r>
              <w:rPr>
                <w:rFonts w:hint="eastAsia"/>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3"/>
              <w:tabs>
                <w:tab w:val="left" w:pos="22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4"/>
              <w:spacing w:line="360" w:lineRule="exact"/>
              <w:ind w:left="210" w:leftChars="100"/>
              <w:jc w:val="both"/>
            </w:pPr>
            <w:r>
              <w:rPr>
                <w:rFonts w:hint="eastAsia"/>
                <w:lang w:val="zh-CN"/>
              </w:rPr>
              <w:t>人民币</w:t>
            </w:r>
            <w:r>
              <w:rPr>
                <w:rFonts w:hint="eastAsia"/>
              </w:rPr>
              <w:t>8</w:t>
            </w:r>
            <w:r>
              <w:rPr>
                <w:rFonts w:hint="eastAsia"/>
                <w:lang w:val="zh-CN"/>
              </w:rPr>
              <w:t>万元</w:t>
            </w:r>
          </w:p>
          <w:p>
            <w:pPr>
              <w:pStyle w:val="44"/>
              <w:spacing w:line="360" w:lineRule="exact"/>
              <w:ind w:left="210" w:leftChars="100"/>
              <w:jc w:val="both"/>
              <w:rPr>
                <w:rFonts w:cs="Times New Roman"/>
                <w:kern w:val="2"/>
                <w:lang w:val="zh-CN"/>
              </w:rPr>
            </w:pPr>
            <w:r>
              <w:rPr>
                <w:rFonts w:hint="eastAsia"/>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cs="Times New Roman"/>
                <w:sz w:val="22"/>
                <w:szCs w:val="22"/>
                <w:lang w:val="zh-CN"/>
              </w:rPr>
              <w:t>不正当竞争预防措施</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rPr>
            </w:pPr>
            <w:r>
              <w:rPr>
                <w:rFonts w:hint="eastAsia" w:cs="Times New Roman"/>
                <w:sz w:val="22"/>
                <w:szCs w:val="22"/>
              </w:rPr>
              <w:t>信用记录查询</w:t>
            </w:r>
          </w:p>
          <w:p>
            <w:pPr>
              <w:pStyle w:val="44"/>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（1）比选人通过</w:t>
            </w:r>
          </w:p>
          <w:p>
            <w:pPr>
              <w:pStyle w:val="44"/>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4"/>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44"/>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44"/>
              <w:spacing w:line="360" w:lineRule="exact"/>
              <w:ind w:left="210" w:leftChars="100"/>
              <w:jc w:val="both"/>
              <w:rPr>
                <w:rFonts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合同分包</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联合体</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5" w:name="_Toc217446035"/>
      <w:r>
        <w:rPr>
          <w:rFonts w:hint="eastAsia" w:ascii="宋体" w:hAnsi="宋体" w:eastAsia="宋体" w:cs="Times New Roman"/>
          <w:b/>
          <w:sz w:val="24"/>
          <w:szCs w:val="24"/>
        </w:rPr>
        <w:t>（二）</w:t>
      </w:r>
      <w:bookmarkEnd w:id="5"/>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682348"/>
      <w:bookmarkStart w:id="7" w:name="_Toc183582211"/>
      <w:bookmarkStart w:id="8"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6"/>
      <w:bookmarkEnd w:id="7"/>
      <w:r>
        <w:rPr>
          <w:rFonts w:hint="eastAsia" w:ascii="宋体" w:hAnsi="宋体" w:eastAsia="宋体" w:cs="Times New Roman"/>
          <w:b/>
          <w:sz w:val="24"/>
          <w:szCs w:val="24"/>
        </w:rPr>
        <w:t>和修改</w:t>
      </w:r>
      <w:bookmarkEnd w:id="8"/>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9" w:name="_Toc217446044"/>
      <w:bookmarkStart w:id="10" w:name="_Toc183682353"/>
      <w:bookmarkStart w:id="11"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9"/>
      <w:bookmarkEnd w:id="10"/>
      <w:bookmarkEnd w:id="11"/>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2" w:name="_Toc217446055"/>
      <w:bookmarkStart w:id="13" w:name="_Toc183682365"/>
      <w:bookmarkStart w:id="14"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5" w:name="_Toc209847069"/>
      <w:bookmarkStart w:id="16" w:name="_Toc101338364"/>
      <w:bookmarkStart w:id="17" w:name="_Toc101250646"/>
      <w:bookmarkStart w:id="18" w:name="_Toc430773927"/>
      <w:bookmarkStart w:id="19" w:name="_Toc101174151"/>
      <w:r>
        <w:rPr>
          <w:rFonts w:hint="eastAsia" w:ascii="宋体" w:hAnsi="宋体" w:eastAsia="宋体" w:cs="Times New Roman"/>
          <w:b/>
          <w:sz w:val="24"/>
          <w:szCs w:val="24"/>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sz w:val="36"/>
          <w:szCs w:val="36"/>
        </w:rPr>
      </w:pPr>
      <w:bookmarkStart w:id="20" w:name="_Toc28291"/>
      <w:r>
        <w:rPr>
          <w:rFonts w:ascii="宋体" w:hAnsi="宋体" w:eastAsia="宋体"/>
          <w:b/>
          <w:sz w:val="36"/>
          <w:szCs w:val="36"/>
        </w:rPr>
        <w:t>第</w:t>
      </w:r>
      <w:r>
        <w:rPr>
          <w:rFonts w:hint="eastAsia" w:ascii="宋体" w:hAnsi="宋体" w:eastAsia="宋体"/>
          <w:b/>
          <w:sz w:val="36"/>
          <w:szCs w:val="36"/>
        </w:rPr>
        <w:t>三</w:t>
      </w:r>
      <w:r>
        <w:rPr>
          <w:rFonts w:ascii="宋体" w:hAnsi="宋体" w:eastAsia="宋体"/>
          <w:b/>
          <w:sz w:val="36"/>
          <w:szCs w:val="36"/>
        </w:rPr>
        <w:t>章</w:t>
      </w:r>
      <w:r>
        <w:rPr>
          <w:rFonts w:hint="eastAsia" w:ascii="宋体" w:hAnsi="宋体" w:eastAsia="宋体"/>
          <w:b/>
          <w:sz w:val="36"/>
          <w:szCs w:val="36"/>
        </w:rPr>
        <w:t xml:space="preserve"> 资格条件要求以及应当提供的资格证明材料</w:t>
      </w:r>
      <w:bookmarkEnd w:id="20"/>
    </w:p>
    <w:p>
      <w:pPr>
        <w:widowControl/>
        <w:spacing w:line="360" w:lineRule="atLeast"/>
        <w:ind w:firstLine="470" w:firstLineChars="196"/>
        <w:rPr>
          <w:rFonts w:ascii="宋体" w:hAnsi="宋体" w:eastAsia="宋体"/>
          <w:sz w:val="24"/>
        </w:rPr>
      </w:pPr>
    </w:p>
    <w:tbl>
      <w:tblPr>
        <w:tblStyle w:val="25"/>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1351" w:type="pct"/>
            <w:vAlign w:val="center"/>
          </w:tcPr>
          <w:p>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1351"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1351"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1351" w:type="pct"/>
            <w:vAlign w:val="center"/>
          </w:tcPr>
          <w:p>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1351"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1351" w:type="pct"/>
            <w:vAlign w:val="center"/>
          </w:tcPr>
          <w:p>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kern w:val="2"/>
          <w:sz w:val="36"/>
          <w:szCs w:val="36"/>
        </w:rPr>
      </w:pPr>
      <w:bookmarkStart w:id="21" w:name="_Toc23416"/>
      <w:bookmarkStart w:id="22" w:name="_Toc13420"/>
      <w:bookmarkStart w:id="23" w:name="_Toc22092"/>
      <w:bookmarkStart w:id="24" w:name="_Toc18798"/>
      <w:r>
        <w:rPr>
          <w:rFonts w:ascii="宋体" w:hAnsi="宋体" w:eastAsia="宋体"/>
          <w:bCs w:val="0"/>
          <w:kern w:val="2"/>
          <w:sz w:val="36"/>
          <w:szCs w:val="36"/>
        </w:rPr>
        <w:t xml:space="preserve">第四章 </w:t>
      </w:r>
      <w:bookmarkEnd w:id="21"/>
      <w:bookmarkEnd w:id="22"/>
      <w:r>
        <w:rPr>
          <w:rFonts w:hint="eastAsia" w:ascii="宋体" w:hAnsi="宋体" w:eastAsia="宋体"/>
          <w:bCs w:val="0"/>
          <w:kern w:val="2"/>
          <w:sz w:val="36"/>
          <w:szCs w:val="36"/>
        </w:rPr>
        <w:t>比选内容及要求</w:t>
      </w:r>
      <w:bookmarkEnd w:id="23"/>
      <w:bookmarkStart w:id="25" w:name="_Toc31717"/>
    </w:p>
    <w:p>
      <w:pPr>
        <w:spacing w:line="360" w:lineRule="auto"/>
        <w:jc w:val="left"/>
        <w:outlineLvl w:val="1"/>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拟对四川铁道职业学院生活垃圾分类收集点进行改造，该项目改造预算8万元。</w:t>
      </w:r>
    </w:p>
    <w:p>
      <w:pPr>
        <w:spacing w:line="500" w:lineRule="exact"/>
        <w:jc w:val="left"/>
        <w:rPr>
          <w:rFonts w:ascii="宋体" w:hAnsi="宋体" w:eastAsia="宋体" w:cs="仿宋"/>
          <w:b/>
          <w:bCs/>
          <w:sz w:val="28"/>
          <w:szCs w:val="24"/>
        </w:rPr>
      </w:pPr>
      <w:r>
        <w:rPr>
          <w:rFonts w:hint="eastAsia" w:ascii="宋体" w:hAnsi="宋体" w:eastAsia="宋体" w:cs="仿宋"/>
          <w:b/>
          <w:bCs/>
          <w:sz w:val="28"/>
          <w:szCs w:val="24"/>
        </w:rPr>
        <w:t>二、技术要求</w:t>
      </w:r>
    </w:p>
    <w:p>
      <w:pPr>
        <w:pStyle w:val="10"/>
        <w:spacing w:line="360" w:lineRule="auto"/>
        <w:ind w:left="0" w:firstLine="240" w:firstLineChars="100"/>
        <w:rPr>
          <w:rFonts w:eastAsia="宋体" w:cs="Times New Roman"/>
          <w:szCs w:val="24"/>
        </w:rPr>
      </w:pPr>
      <w:r>
        <w:rPr>
          <w:rFonts w:hint="eastAsia" w:eastAsia="宋体" w:cs="Times New Roman"/>
          <w:szCs w:val="24"/>
        </w:rPr>
        <w:t>（一）改造内容</w:t>
      </w:r>
    </w:p>
    <w:tbl>
      <w:tblPr>
        <w:tblStyle w:val="24"/>
        <w:tblW w:w="8894" w:type="dxa"/>
        <w:tblInd w:w="0" w:type="dxa"/>
        <w:tblLayout w:type="fixed"/>
        <w:tblCellMar>
          <w:top w:w="0" w:type="dxa"/>
          <w:left w:w="108" w:type="dxa"/>
          <w:bottom w:w="0" w:type="dxa"/>
          <w:right w:w="108" w:type="dxa"/>
        </w:tblCellMar>
      </w:tblPr>
      <w:tblGrid>
        <w:gridCol w:w="629"/>
        <w:gridCol w:w="1677"/>
        <w:gridCol w:w="2024"/>
        <w:gridCol w:w="2304"/>
        <w:gridCol w:w="1223"/>
        <w:gridCol w:w="1037"/>
      </w:tblGrid>
      <w:tr>
        <w:tblPrEx>
          <w:tblCellMar>
            <w:top w:w="0" w:type="dxa"/>
            <w:left w:w="108" w:type="dxa"/>
            <w:bottom w:w="0" w:type="dxa"/>
            <w:right w:w="108" w:type="dxa"/>
          </w:tblCellMar>
        </w:tblPrEx>
        <w:trPr>
          <w:trHeight w:val="487" w:hRule="atLeast"/>
        </w:trPr>
        <w:tc>
          <w:tcPr>
            <w:tcW w:w="889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生活垃圾分类收集点改造明细表</w:t>
            </w:r>
          </w:p>
        </w:tc>
      </w:tr>
      <w:tr>
        <w:tblPrEx>
          <w:tblCellMar>
            <w:top w:w="0" w:type="dxa"/>
            <w:left w:w="108" w:type="dxa"/>
            <w:bottom w:w="0" w:type="dxa"/>
            <w:right w:w="108" w:type="dxa"/>
          </w:tblCellMar>
        </w:tblPrEx>
        <w:trPr>
          <w:trHeight w:val="487" w:hRule="atLeast"/>
        </w:trPr>
        <w:tc>
          <w:tcPr>
            <w:tcW w:w="629"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3701" w:type="dxa"/>
            <w:gridSpan w:val="2"/>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名称</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规格</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单位</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数量</w:t>
            </w:r>
          </w:p>
        </w:tc>
      </w:tr>
      <w:tr>
        <w:tblPrEx>
          <w:tblCellMar>
            <w:top w:w="0" w:type="dxa"/>
            <w:left w:w="108" w:type="dxa"/>
            <w:bottom w:w="0" w:type="dxa"/>
            <w:right w:w="108" w:type="dxa"/>
          </w:tblCellMar>
        </w:tblPrEx>
        <w:trPr>
          <w:trHeight w:val="487" w:hRule="atLeast"/>
        </w:trPr>
        <w:tc>
          <w:tcPr>
            <w:tcW w:w="629" w:type="dxa"/>
            <w:vMerge w:val="restart"/>
            <w:tcBorders>
              <w:top w:val="nil"/>
              <w:left w:val="single" w:color="auto" w:sz="4" w:space="0"/>
              <w:bottom w:val="single" w:color="auto" w:sz="4" w:space="0"/>
              <w:right w:val="single" w:color="auto" w:sz="4" w:space="0"/>
            </w:tcBorders>
            <w:shd w:val="clear" w:color="auto" w:fill="auto"/>
            <w:noWrap/>
            <w:vAlign w:val="center"/>
          </w:tcPr>
          <w:p>
            <w:pPr>
              <w:tabs>
                <w:tab w:val="center" w:pos="207"/>
              </w:tabs>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w:t>
            </w:r>
          </w:p>
        </w:tc>
        <w:tc>
          <w:tcPr>
            <w:tcW w:w="1677"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地面硬化</w:t>
            </w: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场地平整</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240</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夯实基础</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240</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混凝土地面</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C30混凝土厚度200</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240</w:t>
            </w:r>
          </w:p>
        </w:tc>
      </w:tr>
      <w:tr>
        <w:tblPrEx>
          <w:tblCellMar>
            <w:top w:w="0" w:type="dxa"/>
            <w:left w:w="108" w:type="dxa"/>
            <w:bottom w:w="0" w:type="dxa"/>
            <w:right w:w="108" w:type="dxa"/>
          </w:tblCellMar>
        </w:tblPrEx>
        <w:trPr>
          <w:trHeight w:val="487" w:hRule="atLeast"/>
        </w:trPr>
        <w:tc>
          <w:tcPr>
            <w:tcW w:w="62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2</w:t>
            </w:r>
          </w:p>
        </w:tc>
        <w:tc>
          <w:tcPr>
            <w:tcW w:w="167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基础</w:t>
            </w: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零星开挖</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1100mm*1100mm*1000mm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模具</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预埋件</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400mm*400mm*12mm钢板</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混凝土</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C30混凝土厚度200</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个</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10</w:t>
            </w:r>
          </w:p>
        </w:tc>
      </w:tr>
      <w:tr>
        <w:tblPrEx>
          <w:tblCellMar>
            <w:top w:w="0" w:type="dxa"/>
            <w:left w:w="108" w:type="dxa"/>
            <w:bottom w:w="0" w:type="dxa"/>
            <w:right w:w="108" w:type="dxa"/>
          </w:tblCellMar>
        </w:tblPrEx>
        <w:trPr>
          <w:trHeight w:val="780" w:hRule="atLeast"/>
        </w:trPr>
        <w:tc>
          <w:tcPr>
            <w:tcW w:w="62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p>
        </w:tc>
        <w:tc>
          <w:tcPr>
            <w:tcW w:w="1677"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立柱、彩钢架及彩钢瓦</w:t>
            </w:r>
          </w:p>
        </w:tc>
        <w:tc>
          <w:tcPr>
            <w:tcW w:w="202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拆除立柱、原彩钢架及彩钢瓦</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98</w:t>
            </w:r>
          </w:p>
        </w:tc>
      </w:tr>
      <w:tr>
        <w:tblPrEx>
          <w:tblCellMar>
            <w:top w:w="0" w:type="dxa"/>
            <w:left w:w="108" w:type="dxa"/>
            <w:bottom w:w="0" w:type="dxa"/>
            <w:right w:w="108" w:type="dxa"/>
          </w:tblCellMar>
        </w:tblPrEx>
        <w:trPr>
          <w:trHeight w:val="780"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安装立柱、彩钢架及彩钢瓦</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原则上利旧，整体翻新（含油漆及辅料），如部分材料无法利旧，该项含新购置费用</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98</w:t>
            </w:r>
          </w:p>
        </w:tc>
      </w:tr>
      <w:tr>
        <w:tblPrEx>
          <w:tblCellMar>
            <w:top w:w="0" w:type="dxa"/>
            <w:left w:w="108" w:type="dxa"/>
            <w:bottom w:w="0" w:type="dxa"/>
            <w:right w:w="108" w:type="dxa"/>
          </w:tblCellMar>
        </w:tblPrEx>
        <w:trPr>
          <w:trHeight w:val="487" w:hRule="atLeast"/>
        </w:trPr>
        <w:tc>
          <w:tcPr>
            <w:tcW w:w="62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4</w:t>
            </w:r>
          </w:p>
        </w:tc>
        <w:tc>
          <w:tcPr>
            <w:tcW w:w="167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墙体</w:t>
            </w: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砖墙体</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多孔墙体</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51</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抹灰</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102</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墙砖</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51</w:t>
            </w:r>
          </w:p>
        </w:tc>
      </w:tr>
      <w:tr>
        <w:tblPrEx>
          <w:tblCellMar>
            <w:top w:w="0" w:type="dxa"/>
            <w:left w:w="108" w:type="dxa"/>
            <w:bottom w:w="0" w:type="dxa"/>
            <w:right w:w="108" w:type="dxa"/>
          </w:tblCellMar>
        </w:tblPrEx>
        <w:trPr>
          <w:trHeight w:val="487" w:hRule="atLeast"/>
        </w:trPr>
        <w:tc>
          <w:tcPr>
            <w:tcW w:w="62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5</w:t>
            </w:r>
          </w:p>
        </w:tc>
        <w:tc>
          <w:tcPr>
            <w:tcW w:w="167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围网</w:t>
            </w: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钢架</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30mm*30mm*3mm</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35</w:t>
            </w:r>
          </w:p>
        </w:tc>
      </w:tr>
      <w:tr>
        <w:tblPrEx>
          <w:tblCellMar>
            <w:top w:w="0" w:type="dxa"/>
            <w:left w:w="108" w:type="dxa"/>
            <w:bottom w:w="0" w:type="dxa"/>
            <w:right w:w="108" w:type="dxa"/>
          </w:tblCellMar>
        </w:tblPrEx>
        <w:trPr>
          <w:trHeight w:val="487"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围网</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平方米</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35</w:t>
            </w:r>
          </w:p>
        </w:tc>
      </w:tr>
      <w:tr>
        <w:tblPrEx>
          <w:tblCellMar>
            <w:top w:w="0" w:type="dxa"/>
            <w:left w:w="108" w:type="dxa"/>
            <w:bottom w:w="0" w:type="dxa"/>
            <w:right w:w="108" w:type="dxa"/>
          </w:tblCellMar>
        </w:tblPrEx>
        <w:trPr>
          <w:trHeight w:val="780" w:hRule="atLeast"/>
        </w:trPr>
        <w:tc>
          <w:tcPr>
            <w:tcW w:w="62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6</w:t>
            </w:r>
          </w:p>
        </w:tc>
        <w:tc>
          <w:tcPr>
            <w:tcW w:w="1677"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宣传标志牌</w:t>
            </w:r>
          </w:p>
        </w:tc>
        <w:tc>
          <w:tcPr>
            <w:tcW w:w="202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生活垃圾分类收集点标志牌</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尺寸：长4000mm*高400mm；</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材质：30*30mm不锈钢方管+1mm铝板</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块</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1</w:t>
            </w:r>
          </w:p>
        </w:tc>
      </w:tr>
      <w:tr>
        <w:tblPrEx>
          <w:tblCellMar>
            <w:top w:w="0" w:type="dxa"/>
            <w:left w:w="108" w:type="dxa"/>
            <w:bottom w:w="0" w:type="dxa"/>
            <w:right w:w="108" w:type="dxa"/>
          </w:tblCellMar>
        </w:tblPrEx>
        <w:trPr>
          <w:trHeight w:val="780" w:hRule="atLeast"/>
        </w:trPr>
        <w:tc>
          <w:tcPr>
            <w:tcW w:w="629"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1677" w:type="dxa"/>
            <w:vMerge w:val="continue"/>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2024"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生活垃圾四分类宣传牌</w:t>
            </w:r>
          </w:p>
        </w:tc>
        <w:tc>
          <w:tcPr>
            <w:tcW w:w="2304" w:type="dxa"/>
            <w:tcBorders>
              <w:top w:val="nil"/>
              <w:left w:val="nil"/>
              <w:bottom w:val="single" w:color="auto" w:sz="4" w:space="0"/>
              <w:right w:val="single" w:color="auto" w:sz="4" w:space="0"/>
            </w:tcBorders>
            <w:shd w:val="clear" w:color="auto" w:fill="auto"/>
            <w:vAlign w:val="center"/>
          </w:tcPr>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尺寸：长1400mm*高1000mm；</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材质：30*30mm不锈钢方管+1mm铝板</w:t>
            </w:r>
          </w:p>
        </w:tc>
        <w:tc>
          <w:tcPr>
            <w:tcW w:w="1223" w:type="dxa"/>
            <w:tcBorders>
              <w:top w:val="nil"/>
              <w:left w:val="nil"/>
              <w:bottom w:val="single" w:color="auto" w:sz="4" w:space="0"/>
              <w:right w:val="single" w:color="auto" w:sz="4" w:space="0"/>
            </w:tcBorders>
            <w:shd w:val="clear" w:color="auto" w:fill="auto"/>
            <w:noWrap/>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块</w:t>
            </w:r>
          </w:p>
        </w:tc>
        <w:tc>
          <w:tcPr>
            <w:tcW w:w="1037" w:type="dxa"/>
            <w:tcBorders>
              <w:top w:val="nil"/>
              <w:left w:val="nil"/>
              <w:bottom w:val="single" w:color="auto" w:sz="4" w:space="0"/>
              <w:right w:val="single" w:color="auto" w:sz="4" w:space="0"/>
            </w:tcBorders>
            <w:shd w:val="clear" w:color="auto" w:fill="auto"/>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4</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（二）技术要求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1.地面硬化技术要求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（1）材质要求：使用预拌混凝土（强度等级C30以上），严格控制混凝土原材料水灰比例。各类材料均应符合现行国家标准和行业标准的规定。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（2）工艺要求及做法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①场地平整主要是清除现有场地上的腐殖土、生活垃圾、淤泥、草树根等杂物，使地面均匀平整以便于强夯机械的行走及施工。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②地面硬化夯实必须使用专业的夯实机器，每层土壤的高度应该控制在20-30cm之间，夯打后的高度要和原来相同。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③夯实布点形式：采用正方形布点，夯点间距4m*4m，施工时隔排施工。夯点间距用尺量检测，误差小于50mm。</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⑤地面混凝土搅拌填充，要求厚度30mm-50mm以上，强度为C30以上，现场塌落度75-100mm，砼表面应密实、平整且无泌水。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⑥ 基层砼初凝时（约2-3h）即可进行耐磨地坪施工。。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⑦ 施工后约2-5h，涂装养护剂以防止水分挥发，引起表面开裂。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2.多孔砖墙体技术要求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（1）材质要求：多孔砖应符合现行国家标准和行业标准的规定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（2）工艺要求及做法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① 多孔砖砌体组砌方法应为内外搭砌，上下错缝。</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② 多孔砖墙体的灰缝应横平竖直，厚薄均匀，水平灰缝厚度及竖向灰缝宽度宜为8-12mm。</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③ 砌多孔砖宜采用“三一”砌筑法，竖缝应采用刮浆法。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④ 先砌的墙要把舌头灰刮尽，后砌的墙可采用缩口灰的方法。掉入沉降缝内的砂浆和杂物，应随时清除干净。</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（三）工程质量、材料、施工等的相关要求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1.工程质量要求：达到设计要求及现行国家规范及质量验收合格标准；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2.材料质量要求：满足设计及相关质量标准的要求；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3.施工要求：符合施工规范及验收标准；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4.安全文明施工要求：满足国家及地方省市有关安全文明施工的要求。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5.其他：成交供应商在施工期间应严格遵守国家、省、市有关防火、安全以及文明、深夜施工、环卫城管等规定，建立规章制度和防护措施。否则，由此 造成的经济和法律责任，均由成交供应商负责。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6.保证在资质范围内对采购人午休场所改造工程进行施工，成交供应商必须具有相应资质、专业队伍、专业人员负责实施，并对此负全责。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7.成交供应商在施工前，应对施工人员及相关人员进行安全培训及交底， 保证施工器具、施工设备、施工材料及施工环境处于安全状态下，在工程实施期 间成交供应商保证按照相关行业规范及安全条例进行操作，并做好防护，对施工过程中出现的给他人或自身造成伤害的一切安全事故负全责，接受采购人的监督。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8.成交供应商应按照施工方案及现行施工及验收规范进行施工。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9.成交供应商施工过程中需使用电、水源，应事先与采购人取得联系，不得私拉乱接。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10.成交供应商应做到文明施工，遵守规范，服从管理，杜绝野蛮施工，在施工过程中当天产生的垃圾尽量当日清理干净。施工结束后，成交供应商应对施 工现场彻底清理，做到工完、料尽、场地清。清理出的垃圾要堆放在采购人指定的场地内，否则采购人可根据实际情况进行处罚或更换施工单位。</w:t>
      </w:r>
    </w:p>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三、商务条款（实质性要求）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工期要求：30个日历日（开工日期以开工报告为准）。如果成交供应商无故拖延工程超过完工日期，逾期每日扣500元的违约金，并且采购人有权无条件解除合同，并要求成交供应商赔偿一切损失。上限为合同金额的10%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2.工程质保期：竣工验收合格后12个月。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3.服务要求：按国家法律规定和合同约定进行质保及售后服务。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4.响应文件中供应商提供的针对本项目人员配置情况表须与实际施工人员相符，否则将视为虚假响应。如有新增人员须持有相关专业上岗证并提供原件查验，否则将视为虚假响应。</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5.付款方式：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（1）履约保证金：合同签订后，供应商支付合同价款的3%作为履约保证金。</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（2）竣工后5个日历天内完成验收，验收合格提供相应的竣工资料且交付采购人、供应商提供相应的正式发票后10个日历天内，一次性支付合同价款。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（3）履约保证金在在1年缺陷责任期满后15个工作日内无息退还。</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6.报价说明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（1）本项目采用固定总价合同，但同时需按项提供明细报价。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（2）供应商应充分考虑采购人对所有进场材料进行检测的权利，并在报价中自行考虑该检测费用，将检测费用含在总报价中。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供应商承担的工程质量未达到合同约定的标准应承担的违约责任：未达质量标准的，供应商进行返工、整改，至直达到标准，造成的经济损失供应商自行承担。两次返工、整改仍不能达到质量验收规范要求标准的，采购人有权拒绝支付该项目费用，且在结算中不予计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*投标文件不满足实质性要求，本次投标文件无效。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br w:type="page"/>
      </w:r>
    </w:p>
    <w:p>
      <w:pPr>
        <w:pStyle w:val="2"/>
        <w:spacing w:before="0" w:after="0" w:line="400" w:lineRule="exact"/>
        <w:ind w:firstLine="2530" w:firstLineChars="700"/>
        <w:rPr>
          <w:rFonts w:ascii="宋体" w:hAnsi="宋体" w:eastAsia="宋体"/>
          <w:sz w:val="36"/>
          <w:szCs w:val="36"/>
        </w:rPr>
      </w:pPr>
      <w:r>
        <w:rPr>
          <w:rFonts w:hint="eastAsia" w:ascii="宋体" w:hAnsi="宋体" w:eastAsia="宋体"/>
          <w:sz w:val="36"/>
          <w:szCs w:val="36"/>
        </w:rPr>
        <w:t>第五章 比选评审办法</w:t>
      </w:r>
      <w:bookmarkEnd w:id="25"/>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6" w:name="_Toc217446098"/>
      <w:r>
        <w:rPr>
          <w:rFonts w:hint="eastAsia" w:ascii="宋体" w:hAnsi="宋体" w:eastAsia="宋体"/>
          <w:sz w:val="24"/>
          <w:szCs w:val="24"/>
        </w:rPr>
        <w:t>。</w:t>
      </w:r>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6"/>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sz w:val="36"/>
          <w:szCs w:val="36"/>
        </w:rPr>
      </w:pPr>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三、比选评审办法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四、评分办法说明</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详细评分标准如下表：</w:t>
      </w:r>
    </w:p>
    <w:tbl>
      <w:tblPr>
        <w:tblStyle w:val="24"/>
        <w:tblW w:w="9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152"/>
        <w:gridCol w:w="720"/>
        <w:gridCol w:w="4694"/>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775" w:type="dxa"/>
          </w:tcPr>
          <w:p>
            <w:pPr>
              <w:pStyle w:val="55"/>
              <w:ind w:left="164"/>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序号</w:t>
            </w:r>
          </w:p>
        </w:tc>
        <w:tc>
          <w:tcPr>
            <w:tcW w:w="1152" w:type="dxa"/>
          </w:tcPr>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评分因素</w:t>
            </w:r>
          </w:p>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及权重</w:t>
            </w:r>
          </w:p>
        </w:tc>
        <w:tc>
          <w:tcPr>
            <w:tcW w:w="720" w:type="dxa"/>
          </w:tcPr>
          <w:p>
            <w:pPr>
              <w:pStyle w:val="55"/>
              <w:ind w:left="106"/>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分值</w:t>
            </w:r>
          </w:p>
        </w:tc>
        <w:tc>
          <w:tcPr>
            <w:tcW w:w="4694" w:type="dxa"/>
          </w:tcPr>
          <w:p>
            <w:pPr>
              <w:pStyle w:val="55"/>
              <w:ind w:right="256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 xml:space="preserve">         评分标准</w:t>
            </w:r>
          </w:p>
        </w:tc>
        <w:tc>
          <w:tcPr>
            <w:tcW w:w="1878" w:type="dxa"/>
          </w:tcPr>
          <w:p>
            <w:pPr>
              <w:pStyle w:val="55"/>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 xml:space="preserve">  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775" w:type="dxa"/>
            <w:vAlign w:val="center"/>
          </w:tcPr>
          <w:p>
            <w:pPr>
              <w:pStyle w:val="55"/>
              <w:ind w:left="8"/>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1</w:t>
            </w:r>
          </w:p>
        </w:tc>
        <w:tc>
          <w:tcPr>
            <w:tcW w:w="1152" w:type="dxa"/>
            <w:vAlign w:val="center"/>
          </w:tcPr>
          <w:p>
            <w:pPr>
              <w:pStyle w:val="55"/>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报价</w:t>
            </w:r>
          </w:p>
        </w:tc>
        <w:tc>
          <w:tcPr>
            <w:tcW w:w="720" w:type="dxa"/>
            <w:vAlign w:val="center"/>
          </w:tcPr>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30分</w:t>
            </w:r>
          </w:p>
        </w:tc>
        <w:tc>
          <w:tcPr>
            <w:tcW w:w="4694" w:type="dxa"/>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满足招标文件要求且价格最低的报价为投标基准价，其价格分为满分。其他有效供应商的价格分统一按照下列公式计算：报价得分=(投标基准价／投标报价)×30。</w:t>
            </w:r>
          </w:p>
        </w:tc>
        <w:tc>
          <w:tcPr>
            <w:tcW w:w="1878" w:type="dxa"/>
          </w:tcPr>
          <w:p>
            <w:pPr>
              <w:pStyle w:val="55"/>
              <w:ind w:left="182" w:right="171"/>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atLeast"/>
          <w:jc w:val="center"/>
        </w:trPr>
        <w:tc>
          <w:tcPr>
            <w:tcW w:w="775" w:type="dxa"/>
            <w:vMerge w:val="restart"/>
            <w:vAlign w:val="center"/>
          </w:tcPr>
          <w:p>
            <w:pPr>
              <w:pStyle w:val="55"/>
              <w:ind w:left="8"/>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2</w:t>
            </w:r>
          </w:p>
        </w:tc>
        <w:tc>
          <w:tcPr>
            <w:tcW w:w="1152" w:type="dxa"/>
            <w:vMerge w:val="restart"/>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技术服务方案</w:t>
            </w:r>
          </w:p>
        </w:tc>
        <w:tc>
          <w:tcPr>
            <w:tcW w:w="720" w:type="dxa"/>
            <w:vMerge w:val="restart"/>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45分</w:t>
            </w:r>
          </w:p>
        </w:tc>
        <w:tc>
          <w:tcPr>
            <w:tcW w:w="4694" w:type="dxa"/>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根据供应商针对本项目提供的施工方案与技术措施进行评审：</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①施工组织方案；</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②技术保证措施方案；</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③项目部的协调措施；</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④施工过程中的重难点分析；</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⑤劳动生产力计划；</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⑥主要机械设备配备。</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各项内容为专门针对本项目编制，符合本项目实际情况，能够保障项目顺利实施的得18分；每缺少一项内容或该项内容非专门针对本项目或内容不符合本项目实际情况的，每有一项扣3分，扣完为止。</w:t>
            </w:r>
          </w:p>
        </w:tc>
        <w:tc>
          <w:tcPr>
            <w:tcW w:w="1878" w:type="dxa"/>
          </w:tcPr>
          <w:p>
            <w:pPr>
              <w:pStyle w:val="55"/>
              <w:ind w:left="182" w:right="171"/>
              <w:jc w:val="center"/>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jc w:val="center"/>
        </w:trPr>
        <w:tc>
          <w:tcPr>
            <w:tcW w:w="775" w:type="dxa"/>
            <w:vMerge w:val="continue"/>
            <w:vAlign w:val="center"/>
          </w:tcPr>
          <w:p>
            <w:pPr>
              <w:pStyle w:val="55"/>
              <w:ind w:left="8"/>
              <w:jc w:val="center"/>
              <w:rPr>
                <w:rFonts w:hint="default" w:ascii="宋体" w:hAnsi="宋体" w:eastAsia="宋体" w:cstheme="minorBidi"/>
                <w:color w:val="auto"/>
                <w:kern w:val="2"/>
                <w:sz w:val="24"/>
                <w:szCs w:val="24"/>
                <w:lang w:val="en-US" w:eastAsia="zh-CN" w:bidi="ar-SA"/>
              </w:rPr>
            </w:pPr>
          </w:p>
        </w:tc>
        <w:tc>
          <w:tcPr>
            <w:tcW w:w="1152"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720"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4694" w:type="dxa"/>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根据供应商针对本项目提供的质量管理体系与措施进行评审：</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①质量管理组织体系；</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②材料质量检查制度；</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③施工质量的自查与改进制度。</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各项内容为专门针对本项目编制，符合本项目实际情况，能够保障项目顺利实施的得9分；每缺少一项内容或该项内容非专门针对本项目或内容不符合本项目实际情况的，每有一项扣3分，扣完为止。</w:t>
            </w:r>
          </w:p>
        </w:tc>
        <w:tc>
          <w:tcPr>
            <w:tcW w:w="1878" w:type="dxa"/>
          </w:tcPr>
          <w:p>
            <w:pPr>
              <w:pStyle w:val="55"/>
              <w:ind w:left="182" w:right="171"/>
              <w:jc w:val="center"/>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775" w:type="dxa"/>
            <w:vMerge w:val="continue"/>
            <w:vAlign w:val="center"/>
          </w:tcPr>
          <w:p>
            <w:pPr>
              <w:pStyle w:val="55"/>
              <w:ind w:left="8"/>
              <w:jc w:val="center"/>
              <w:rPr>
                <w:rFonts w:hint="default" w:ascii="宋体" w:hAnsi="宋体" w:eastAsia="宋体" w:cstheme="minorBidi"/>
                <w:color w:val="auto"/>
                <w:kern w:val="2"/>
                <w:sz w:val="24"/>
                <w:szCs w:val="24"/>
                <w:lang w:val="en-US" w:eastAsia="zh-CN" w:bidi="ar-SA"/>
              </w:rPr>
            </w:pPr>
          </w:p>
        </w:tc>
        <w:tc>
          <w:tcPr>
            <w:tcW w:w="1152"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720"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4694" w:type="dxa"/>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根据供应商针对本项目提供的安全文明施工管理体系与措施进行评审：</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①安全保证体系；</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②安全责任体系；</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③安全管理制度；</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④文明施工组织措施；</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⑤材料临时堆放与保护措施；</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⑥安全应急救援预案。</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各项内容为专门针对本项目编制，符合本项目实际情况，能够保障项目顺利实施的得6分；每缺少一项内容或该项内容非专门针对本项目或内容不符合本项目实际情况的，每有一项扣1分，扣完为止。</w:t>
            </w:r>
          </w:p>
        </w:tc>
        <w:tc>
          <w:tcPr>
            <w:tcW w:w="1878" w:type="dxa"/>
          </w:tcPr>
          <w:p>
            <w:pPr>
              <w:pStyle w:val="55"/>
              <w:ind w:left="182" w:right="171"/>
              <w:jc w:val="center"/>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775" w:type="dxa"/>
            <w:vMerge w:val="continue"/>
            <w:vAlign w:val="center"/>
          </w:tcPr>
          <w:p>
            <w:pPr>
              <w:pStyle w:val="55"/>
              <w:ind w:left="8"/>
              <w:jc w:val="center"/>
              <w:rPr>
                <w:rFonts w:hint="default" w:ascii="宋体" w:hAnsi="宋体" w:eastAsia="宋体" w:cstheme="minorBidi"/>
                <w:color w:val="auto"/>
                <w:kern w:val="2"/>
                <w:sz w:val="24"/>
                <w:szCs w:val="24"/>
                <w:lang w:val="en-US" w:eastAsia="zh-CN" w:bidi="ar-SA"/>
              </w:rPr>
            </w:pPr>
          </w:p>
        </w:tc>
        <w:tc>
          <w:tcPr>
            <w:tcW w:w="1152"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720"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4694" w:type="dxa"/>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根据供应商针对本项目提供的环境保护管理体系与措施进行评审：</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①环境保护管理体系；</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②污染物处理、扬尘处理、噪音控制；</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③建筑垃圾处理、废弃物处理。</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各项内容为专门针对本项目编制，符合本项目实际情况，能够保障项目顺利实施的得6分；每缺少一项内容或该项内容非专门针对本项目或内容不符合本项目实际情况的，每有一项扣2分，扣完为止。</w:t>
            </w:r>
          </w:p>
        </w:tc>
        <w:tc>
          <w:tcPr>
            <w:tcW w:w="1878" w:type="dxa"/>
          </w:tcPr>
          <w:p>
            <w:pPr>
              <w:pStyle w:val="55"/>
              <w:ind w:left="182" w:right="171"/>
              <w:jc w:val="center"/>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jc w:val="center"/>
        </w:trPr>
        <w:tc>
          <w:tcPr>
            <w:tcW w:w="775" w:type="dxa"/>
            <w:vMerge w:val="continue"/>
            <w:vAlign w:val="center"/>
          </w:tcPr>
          <w:p>
            <w:pPr>
              <w:pStyle w:val="55"/>
              <w:ind w:left="8"/>
              <w:jc w:val="center"/>
              <w:rPr>
                <w:rFonts w:hint="default" w:ascii="宋体" w:hAnsi="宋体" w:eastAsia="宋体" w:cstheme="minorBidi"/>
                <w:color w:val="auto"/>
                <w:kern w:val="2"/>
                <w:sz w:val="24"/>
                <w:szCs w:val="24"/>
                <w:lang w:val="en-US" w:eastAsia="zh-CN" w:bidi="ar-SA"/>
              </w:rPr>
            </w:pPr>
          </w:p>
        </w:tc>
        <w:tc>
          <w:tcPr>
            <w:tcW w:w="1152"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720" w:type="dxa"/>
            <w:vMerge w:val="continue"/>
            <w:vAlign w:val="center"/>
          </w:tcPr>
          <w:p>
            <w:pPr>
              <w:pStyle w:val="55"/>
              <w:ind w:left="107"/>
              <w:rPr>
                <w:rFonts w:hint="default" w:ascii="宋体" w:hAnsi="宋体" w:eastAsia="宋体" w:cstheme="minorBidi"/>
                <w:color w:val="auto"/>
                <w:kern w:val="2"/>
                <w:sz w:val="24"/>
                <w:szCs w:val="24"/>
                <w:lang w:val="en-US" w:eastAsia="zh-CN" w:bidi="ar-SA"/>
              </w:rPr>
            </w:pPr>
          </w:p>
        </w:tc>
        <w:tc>
          <w:tcPr>
            <w:tcW w:w="4694" w:type="dxa"/>
            <w:vAlign w:val="center"/>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根据供应商提供的工程进度计划与措施进行综合评审，包括但不限于：</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①工程进度计划；</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②工期保证措施；</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③施工进度网络图。</w:t>
            </w:r>
          </w:p>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各项内容为专门针对本项目编制，符合本项目实际情况，能够保障项目顺利实施的得6分；每缺少一项内容或该项内容非专门针对本项目或内容不符合本项目实际情况的，每有一项扣2分，扣完为止。</w:t>
            </w:r>
          </w:p>
        </w:tc>
        <w:tc>
          <w:tcPr>
            <w:tcW w:w="1878" w:type="dxa"/>
          </w:tcPr>
          <w:p>
            <w:pPr>
              <w:pStyle w:val="55"/>
              <w:ind w:left="182" w:right="171"/>
              <w:jc w:val="center"/>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jc w:val="center"/>
        </w:trPr>
        <w:tc>
          <w:tcPr>
            <w:tcW w:w="775" w:type="dxa"/>
            <w:vAlign w:val="center"/>
          </w:tcPr>
          <w:p>
            <w:pPr>
              <w:jc w:val="center"/>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w:t>
            </w:r>
          </w:p>
        </w:tc>
        <w:tc>
          <w:tcPr>
            <w:tcW w:w="1152" w:type="dxa"/>
            <w:vAlign w:val="center"/>
          </w:tcPr>
          <w:p>
            <w:pPr>
              <w:jc w:val="center"/>
              <w:rPr>
                <w:rFonts w:hint="eastAsia" w:ascii="宋体" w:hAnsi="宋体" w:eastAsia="宋体" w:cstheme="minorBidi"/>
                <w:color w:val="auto"/>
                <w:kern w:val="2"/>
                <w:sz w:val="24"/>
                <w:szCs w:val="24"/>
                <w:lang w:val="zh-CN" w:eastAsia="zh-CN" w:bidi="ar-SA"/>
              </w:rPr>
            </w:pPr>
            <w:r>
              <w:rPr>
                <w:rFonts w:hint="eastAsia" w:ascii="宋体" w:hAnsi="宋体" w:eastAsia="宋体" w:cstheme="minorBidi"/>
                <w:color w:val="auto"/>
                <w:kern w:val="2"/>
                <w:sz w:val="24"/>
                <w:szCs w:val="24"/>
                <w:lang w:val="zh-CN" w:eastAsia="zh-CN" w:bidi="ar-SA"/>
              </w:rPr>
              <w:t>质量保障</w:t>
            </w:r>
          </w:p>
          <w:p>
            <w:pPr>
              <w:jc w:val="center"/>
              <w:rPr>
                <w:rFonts w:hint="eastAsia" w:ascii="宋体" w:hAnsi="宋体" w:eastAsia="宋体" w:cstheme="minorBidi"/>
                <w:color w:val="auto"/>
                <w:kern w:val="2"/>
                <w:sz w:val="24"/>
                <w:szCs w:val="24"/>
                <w:lang w:val="zh-CN" w:eastAsia="zh-CN" w:bidi="ar-SA"/>
              </w:rPr>
            </w:pPr>
          </w:p>
        </w:tc>
        <w:tc>
          <w:tcPr>
            <w:tcW w:w="720" w:type="dxa"/>
            <w:vAlign w:val="center"/>
          </w:tcPr>
          <w:p>
            <w:pPr>
              <w:jc w:val="center"/>
              <w:rPr>
                <w:rFonts w:hint="eastAsia" w:ascii="宋体" w:hAnsi="宋体" w:eastAsia="宋体" w:cstheme="minorBidi"/>
                <w:color w:val="auto"/>
                <w:kern w:val="2"/>
                <w:sz w:val="24"/>
                <w:szCs w:val="24"/>
                <w:lang w:val="zh-CN" w:eastAsia="zh-CN" w:bidi="ar-SA"/>
              </w:rPr>
            </w:pPr>
            <w:r>
              <w:rPr>
                <w:rFonts w:hint="eastAsia" w:ascii="宋体" w:hAnsi="宋体" w:eastAsia="宋体" w:cstheme="minorBidi"/>
                <w:color w:val="auto"/>
                <w:kern w:val="2"/>
                <w:sz w:val="24"/>
                <w:szCs w:val="24"/>
                <w:lang w:val="zh-CN" w:eastAsia="zh-CN" w:bidi="ar-SA"/>
              </w:rPr>
              <w:t>8分</w:t>
            </w:r>
          </w:p>
        </w:tc>
        <w:tc>
          <w:tcPr>
            <w:tcW w:w="4694" w:type="dxa"/>
            <w:vAlign w:val="center"/>
          </w:tcPr>
          <w:p>
            <w:pPr>
              <w:rPr>
                <w:rFonts w:hint="eastAsia" w:ascii="宋体" w:hAnsi="宋体" w:eastAsia="宋体" w:cstheme="minorBidi"/>
                <w:color w:val="auto"/>
                <w:kern w:val="2"/>
                <w:sz w:val="24"/>
                <w:szCs w:val="24"/>
                <w:lang w:val="zh-CN" w:eastAsia="zh-CN" w:bidi="ar-SA"/>
              </w:rPr>
            </w:pPr>
            <w:r>
              <w:rPr>
                <w:rFonts w:hint="eastAsia" w:ascii="宋体" w:hAnsi="宋体" w:eastAsia="宋体" w:cstheme="minorBidi"/>
                <w:color w:val="auto"/>
                <w:kern w:val="2"/>
                <w:sz w:val="24"/>
                <w:szCs w:val="24"/>
                <w:lang w:val="zh-CN" w:eastAsia="zh-CN" w:bidi="ar-SA"/>
              </w:rPr>
              <w:t>根据供应商提供的施工组织方案中的质量保证措施：</w:t>
            </w:r>
          </w:p>
          <w:p>
            <w:pPr>
              <w:tabs>
                <w:tab w:val="left" w:pos="312"/>
              </w:tabs>
              <w:rPr>
                <w:rFonts w:hint="eastAsia" w:ascii="宋体" w:hAnsi="宋体" w:eastAsia="宋体" w:cstheme="minorBidi"/>
                <w:color w:val="auto"/>
                <w:kern w:val="2"/>
                <w:sz w:val="24"/>
                <w:szCs w:val="24"/>
                <w:lang w:val="zh-CN" w:eastAsia="zh-CN" w:bidi="ar-SA"/>
              </w:rPr>
            </w:pPr>
            <w:r>
              <w:rPr>
                <w:rFonts w:hint="eastAsia" w:ascii="宋体" w:hAnsi="宋体" w:eastAsia="宋体" w:cstheme="minorBidi"/>
                <w:color w:val="auto"/>
                <w:kern w:val="2"/>
                <w:sz w:val="24"/>
                <w:szCs w:val="24"/>
                <w:lang w:val="zh-CN" w:eastAsia="zh-CN" w:bidi="ar-SA"/>
              </w:rPr>
              <w:t>符合国家对工程建设项目相关验收年限要求，后期维护及时迅速（24小时以内完成维修更换的）得3分，每承诺完成维修少于三个小时的加1分，最多加5分。</w:t>
            </w:r>
          </w:p>
        </w:tc>
        <w:tc>
          <w:tcPr>
            <w:tcW w:w="1878" w:type="dxa"/>
          </w:tcPr>
          <w:p>
            <w:pPr>
              <w:pStyle w:val="55"/>
              <w:ind w:left="182" w:right="171"/>
              <w:jc w:val="center"/>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775" w:type="dxa"/>
            <w:vAlign w:val="center"/>
          </w:tcPr>
          <w:p>
            <w:pPr>
              <w:pStyle w:val="55"/>
              <w:jc w:val="center"/>
              <w:rPr>
                <w:rFonts w:hint="default" w:ascii="宋体" w:hAnsi="宋体" w:eastAsia="宋体" w:cstheme="minorBidi"/>
                <w:color w:val="auto"/>
                <w:kern w:val="2"/>
                <w:sz w:val="24"/>
                <w:szCs w:val="24"/>
                <w:lang w:val="en-US" w:eastAsia="zh-CN" w:bidi="ar-SA"/>
              </w:rPr>
            </w:pPr>
          </w:p>
          <w:p>
            <w:pPr>
              <w:pStyle w:val="55"/>
              <w:ind w:left="8"/>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4</w:t>
            </w:r>
          </w:p>
        </w:tc>
        <w:tc>
          <w:tcPr>
            <w:tcW w:w="1152" w:type="dxa"/>
            <w:vAlign w:val="center"/>
          </w:tcPr>
          <w:p>
            <w:pPr>
              <w:pStyle w:val="55"/>
              <w:ind w:left="580" w:right="212" w:hanging="360"/>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类似</w:t>
            </w:r>
          </w:p>
          <w:p>
            <w:pPr>
              <w:pStyle w:val="55"/>
              <w:ind w:left="580" w:right="212" w:hanging="360"/>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业绩</w:t>
            </w:r>
          </w:p>
          <w:p>
            <w:pPr>
              <w:pStyle w:val="55"/>
              <w:ind w:left="210" w:leftChars="100" w:right="212" w:firstLine="240" w:firstLineChars="100"/>
              <w:rPr>
                <w:rFonts w:hint="eastAsia" w:ascii="宋体" w:hAnsi="宋体" w:eastAsia="宋体" w:cstheme="minorBidi"/>
                <w:color w:val="auto"/>
                <w:kern w:val="2"/>
                <w:sz w:val="24"/>
                <w:szCs w:val="24"/>
                <w:lang w:val="en-US" w:eastAsia="zh-CN" w:bidi="ar-SA"/>
              </w:rPr>
            </w:pPr>
          </w:p>
        </w:tc>
        <w:tc>
          <w:tcPr>
            <w:tcW w:w="720" w:type="dxa"/>
            <w:vAlign w:val="center"/>
          </w:tcPr>
          <w:p>
            <w:pPr>
              <w:pStyle w:val="55"/>
              <w:jc w:val="center"/>
              <w:rPr>
                <w:rFonts w:hint="default" w:ascii="宋体" w:hAnsi="宋体" w:eastAsia="宋体" w:cstheme="minorBidi"/>
                <w:color w:val="auto"/>
                <w:kern w:val="2"/>
                <w:sz w:val="24"/>
                <w:szCs w:val="24"/>
                <w:lang w:val="en-US" w:eastAsia="zh-CN" w:bidi="ar-SA"/>
              </w:rPr>
            </w:pPr>
            <w:r>
              <w:rPr>
                <w:rFonts w:hint="default" w:ascii="宋体" w:hAnsi="宋体" w:eastAsia="宋体" w:cstheme="minorBidi"/>
                <w:color w:val="auto"/>
                <w:kern w:val="2"/>
                <w:sz w:val="24"/>
                <w:szCs w:val="24"/>
                <w:lang w:val="en-US" w:eastAsia="zh-CN" w:bidi="ar-SA"/>
              </w:rPr>
              <w:t>10</w:t>
            </w:r>
            <w:r>
              <w:rPr>
                <w:rFonts w:hint="eastAsia" w:ascii="宋体" w:hAnsi="宋体" w:eastAsia="宋体" w:cstheme="minorBidi"/>
                <w:color w:val="auto"/>
                <w:kern w:val="2"/>
                <w:sz w:val="24"/>
                <w:szCs w:val="24"/>
                <w:lang w:val="en-US" w:eastAsia="zh-CN" w:bidi="ar-SA"/>
              </w:rPr>
              <w:t>分</w:t>
            </w:r>
          </w:p>
        </w:tc>
        <w:tc>
          <w:tcPr>
            <w:tcW w:w="4694" w:type="dxa"/>
          </w:tcPr>
          <w:p>
            <w:pPr>
              <w:pStyle w:val="55"/>
              <w:ind w:left="107"/>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供应商自2021年1月1日起具有类似项目业绩的，每具有 1 个得</w:t>
            </w:r>
            <w:r>
              <w:rPr>
                <w:rFonts w:hint="default" w:ascii="宋体" w:hAnsi="宋体" w:eastAsia="宋体" w:cstheme="minorBidi"/>
                <w:color w:val="auto"/>
                <w:kern w:val="2"/>
                <w:sz w:val="24"/>
                <w:szCs w:val="24"/>
                <w:lang w:val="en-US" w:eastAsia="zh-CN" w:bidi="ar-SA"/>
              </w:rPr>
              <w:t>2</w:t>
            </w:r>
            <w:r>
              <w:rPr>
                <w:rFonts w:hint="eastAsia" w:ascii="宋体" w:hAnsi="宋体" w:eastAsia="宋体" w:cstheme="minorBidi"/>
                <w:color w:val="auto"/>
                <w:kern w:val="2"/>
                <w:sz w:val="24"/>
                <w:szCs w:val="24"/>
                <w:lang w:val="en-US" w:eastAsia="zh-CN" w:bidi="ar-SA"/>
              </w:rPr>
              <w:t xml:space="preserve"> 分，最多得</w:t>
            </w:r>
            <w:r>
              <w:rPr>
                <w:rFonts w:hint="default" w:ascii="宋体" w:hAnsi="宋体" w:eastAsia="宋体" w:cstheme="minorBidi"/>
                <w:color w:val="auto"/>
                <w:kern w:val="2"/>
                <w:sz w:val="24"/>
                <w:szCs w:val="24"/>
                <w:lang w:val="en-US" w:eastAsia="zh-CN" w:bidi="ar-SA"/>
              </w:rPr>
              <w:t>10</w:t>
            </w:r>
            <w:r>
              <w:rPr>
                <w:rFonts w:hint="eastAsia" w:ascii="宋体" w:hAnsi="宋体" w:eastAsia="宋体" w:cstheme="minorBidi"/>
                <w:color w:val="auto"/>
                <w:kern w:val="2"/>
                <w:sz w:val="24"/>
                <w:szCs w:val="24"/>
                <w:lang w:val="en-US" w:eastAsia="zh-CN" w:bidi="ar-SA"/>
              </w:rPr>
              <w:t xml:space="preserve"> 分。（提供加盖公章的协议或合同复印件予以佐证，不提供或不满足不得分）</w:t>
            </w:r>
          </w:p>
        </w:tc>
        <w:tc>
          <w:tcPr>
            <w:tcW w:w="1878" w:type="dxa"/>
          </w:tcPr>
          <w:p>
            <w:pPr>
              <w:pStyle w:val="55"/>
              <w:ind w:left="182" w:right="171"/>
              <w:rPr>
                <w:rFonts w:hint="default" w:ascii="宋体" w:hAnsi="宋体" w:eastAsia="宋体" w:cstheme="minorBidi"/>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775" w:type="dxa"/>
            <w:vAlign w:val="center"/>
          </w:tcPr>
          <w:p>
            <w:pPr>
              <w:pStyle w:val="55"/>
              <w:jc w:val="center"/>
              <w:rPr>
                <w:rFonts w:hint="default" w:ascii="宋体" w:hAnsi="宋体" w:eastAsia="宋体" w:cstheme="minorBidi"/>
                <w:color w:val="auto"/>
                <w:kern w:val="2"/>
                <w:sz w:val="24"/>
                <w:szCs w:val="24"/>
                <w:lang w:val="en-US" w:eastAsia="zh-CN" w:bidi="ar-SA"/>
              </w:rPr>
            </w:pPr>
          </w:p>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5</w:t>
            </w:r>
          </w:p>
        </w:tc>
        <w:tc>
          <w:tcPr>
            <w:tcW w:w="1152" w:type="dxa"/>
            <w:vAlign w:val="center"/>
          </w:tcPr>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人员配置</w:t>
            </w:r>
          </w:p>
          <w:p>
            <w:pPr>
              <w:pStyle w:val="55"/>
              <w:jc w:val="center"/>
              <w:rPr>
                <w:rFonts w:hint="default" w:ascii="宋体" w:hAnsi="宋体" w:eastAsia="宋体" w:cstheme="minorBidi"/>
                <w:color w:val="auto"/>
                <w:kern w:val="2"/>
                <w:sz w:val="24"/>
                <w:szCs w:val="24"/>
                <w:lang w:val="en-US" w:eastAsia="zh-CN" w:bidi="ar-SA"/>
              </w:rPr>
            </w:pPr>
          </w:p>
        </w:tc>
        <w:tc>
          <w:tcPr>
            <w:tcW w:w="720" w:type="dxa"/>
            <w:vAlign w:val="center"/>
          </w:tcPr>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7分</w:t>
            </w:r>
          </w:p>
        </w:tc>
        <w:tc>
          <w:tcPr>
            <w:tcW w:w="4694" w:type="dxa"/>
            <w:vAlign w:val="center"/>
          </w:tcPr>
          <w:p>
            <w:pPr>
              <w:pStyle w:val="55"/>
              <w:jc w:val="left"/>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项目负责人：具有二级建造师（建筑）的得1分，具有中级及以上职称的得1分；</w:t>
            </w:r>
          </w:p>
          <w:p>
            <w:pPr>
              <w:pStyle w:val="55"/>
              <w:jc w:val="center"/>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其他人员：施工员、质量员、安全员（同时具备有效的安全生产考核合格C证）、造价员、资料员配备齐全的得5分，缺少一名扣1分，扣完为止。</w:t>
            </w:r>
          </w:p>
          <w:p>
            <w:pPr>
              <w:pStyle w:val="55"/>
              <w:jc w:val="left"/>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注：以上人员不重复计算，提供与所投单位签订的劳动关系证明材料复印件和有效证书复印件并加盖供应商鲜章。</w:t>
            </w:r>
          </w:p>
        </w:tc>
        <w:tc>
          <w:tcPr>
            <w:tcW w:w="1878" w:type="dxa"/>
          </w:tcPr>
          <w:p>
            <w:pPr>
              <w:pStyle w:val="55"/>
              <w:ind w:left="182" w:right="171"/>
              <w:rPr>
                <w:rFonts w:hint="default" w:ascii="宋体" w:hAnsi="宋体" w:eastAsia="宋体" w:cstheme="minorBidi"/>
                <w:color w:val="auto"/>
                <w:kern w:val="2"/>
                <w:sz w:val="24"/>
                <w:szCs w:val="24"/>
                <w:lang w:val="en-US" w:eastAsia="zh-CN" w:bidi="ar-SA"/>
              </w:rPr>
            </w:pPr>
          </w:p>
        </w:tc>
      </w:tr>
    </w:tbl>
    <w:p>
      <w:pPr>
        <w:rPr>
          <w:rFonts w:hint="eastAsia" w:ascii="宋体" w:hAnsi="宋体" w:eastAsia="宋体" w:cstheme="minorBidi"/>
          <w:color w:val="auto"/>
          <w:kern w:val="2"/>
          <w:sz w:val="24"/>
          <w:szCs w:val="24"/>
          <w:lang w:val="en-US" w:eastAsia="zh-CN" w:bidi="ar-SA"/>
        </w:rPr>
      </w:pP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 </w:t>
      </w: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168" w:firstLineChars="600"/>
        <w:rPr>
          <w:rFonts w:hint="eastAsia" w:ascii="宋体" w:hAnsi="宋体" w:eastAsia="宋体"/>
          <w:sz w:val="36"/>
          <w:szCs w:val="36"/>
        </w:rPr>
      </w:pPr>
    </w:p>
    <w:p>
      <w:pPr>
        <w:pStyle w:val="2"/>
        <w:spacing w:before="0" w:after="0" w:line="400" w:lineRule="exact"/>
        <w:ind w:firstLine="2650" w:firstLineChars="600"/>
        <w:jc w:val="left"/>
        <w:rPr>
          <w:rFonts w:hint="eastAsia" w:ascii="宋体" w:hAnsi="宋体" w:eastAsia="宋体"/>
          <w:sz w:val="44"/>
          <w:szCs w:val="44"/>
        </w:rPr>
      </w:pPr>
    </w:p>
    <w:p>
      <w:pPr>
        <w:pStyle w:val="2"/>
        <w:spacing w:before="0" w:after="0" w:line="400" w:lineRule="exact"/>
        <w:ind w:firstLine="2650" w:firstLineChars="600"/>
        <w:jc w:val="left"/>
        <w:rPr>
          <w:rFonts w:ascii="宋体" w:hAnsi="宋体" w:eastAsia="宋体"/>
          <w:sz w:val="44"/>
          <w:szCs w:val="44"/>
        </w:rPr>
      </w:pPr>
      <w:r>
        <w:rPr>
          <w:rFonts w:hint="eastAsia" w:ascii="宋体" w:hAnsi="宋体" w:eastAsia="宋体"/>
          <w:sz w:val="44"/>
          <w:szCs w:val="44"/>
        </w:rPr>
        <w:t>第六章 比选申请文件格式</w:t>
      </w:r>
      <w:bookmarkEnd w:id="24"/>
    </w:p>
    <w:p>
      <w:pPr>
        <w:ind w:firstLine="4417" w:firstLineChars="1000"/>
        <w:jc w:val="left"/>
        <w:rPr>
          <w:rFonts w:ascii="宋体" w:hAnsi="宋体" w:eastAsia="宋体" w:cs="Times New Roman"/>
          <w:b/>
          <w:sz w:val="44"/>
          <w:szCs w:val="44"/>
        </w:rPr>
      </w:pPr>
      <w:r>
        <w:rPr>
          <w:rFonts w:ascii="宋体" w:hAnsi="宋体" w:eastAsia="宋体" w:cs="Times New Roman"/>
          <w:b/>
          <w:sz w:val="44"/>
          <w:szCs w:val="44"/>
        </w:rPr>
        <w:t>（正本）</w:t>
      </w:r>
    </w:p>
    <w:p>
      <w:pPr>
        <w:spacing w:line="360" w:lineRule="auto"/>
        <w:ind w:firstLine="3614" w:firstLineChars="1000"/>
        <w:jc w:val="left"/>
        <w:rPr>
          <w:rFonts w:ascii="宋体" w:hAnsi="宋体" w:eastAsia="宋体"/>
          <w:b/>
          <w:sz w:val="36"/>
          <w:szCs w:val="36"/>
        </w:rPr>
      </w:pPr>
      <w:r>
        <w:rPr>
          <w:rFonts w:hint="eastAsia" w:ascii="宋体" w:hAnsi="宋体" w:eastAsia="宋体"/>
          <w:b/>
          <w:sz w:val="36"/>
          <w:szCs w:val="36"/>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9"/>
        <w:spacing w:after="0"/>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7" w:name="_Toc217446082"/>
      <w:r>
        <w:rPr>
          <w:rFonts w:hint="eastAsia" w:ascii="宋体" w:hAnsi="宋体" w:eastAsia="宋体"/>
          <w:sz w:val="32"/>
        </w:rPr>
        <w:br w:type="page"/>
      </w:r>
    </w:p>
    <w:bookmarkEnd w:id="27"/>
    <w:p>
      <w:pPr>
        <w:pStyle w:val="3"/>
        <w:numPr>
          <w:ilvl w:val="0"/>
          <w:numId w:val="5"/>
        </w:numPr>
        <w:spacing w:before="0" w:after="0" w:line="400" w:lineRule="exact"/>
        <w:ind w:firstLine="3534" w:firstLineChars="1100"/>
        <w:rPr>
          <w:rFonts w:ascii="宋体" w:hAnsi="宋体" w:eastAsia="宋体"/>
          <w:sz w:val="32"/>
        </w:rPr>
      </w:pPr>
      <w:r>
        <w:rPr>
          <w:rFonts w:hint="eastAsia" w:ascii="宋体" w:hAnsi="宋体" w:eastAsia="宋体"/>
          <w:sz w:val="32"/>
        </w:rPr>
        <w:t>申请函</w:t>
      </w:r>
    </w:p>
    <w:p>
      <w:pPr>
        <w:pStyle w:val="3"/>
        <w:spacing w:before="0" w:after="0" w:line="400" w:lineRule="exact"/>
        <w:rPr>
          <w:rFonts w:ascii="宋体" w:hAnsi="宋体" w:eastAsia="宋体"/>
          <w:sz w:val="24"/>
          <w:szCs w:val="24"/>
          <w:u w:val="single"/>
        </w:rPr>
      </w:pPr>
      <w:r>
        <w:rPr>
          <w:rFonts w:hint="eastAsia" w:ascii="宋体" w:hAnsi="宋体" w:eastAsia="宋体"/>
          <w:sz w:val="24"/>
          <w:szCs w:val="24"/>
          <w:u w:val="single"/>
        </w:rPr>
        <w:t>xxxxxxxxx</w:t>
      </w:r>
      <w:r>
        <w:rPr>
          <w:rFonts w:hint="eastAsia" w:ascii="宋体" w:hAnsi="宋体" w:eastAsia="宋体"/>
          <w:sz w:val="24"/>
          <w:szCs w:val="24"/>
        </w:rPr>
        <w:t>：</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3"/>
        <w:spacing w:line="560" w:lineRule="exact"/>
        <w:ind w:firstLine="480" w:firstLineChars="200"/>
        <w:rPr>
          <w:rFonts w:ascii="宋体" w:hAnsi="宋体" w:eastAsia="宋体"/>
          <w:bCs/>
          <w:sz w:val="24"/>
          <w:szCs w:val="24"/>
        </w:rPr>
      </w:pPr>
    </w:p>
    <w:p>
      <w:pPr>
        <w:pStyle w:val="13"/>
        <w:spacing w:line="56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spacing w:line="560" w:lineRule="exact"/>
        <w:ind w:firstLine="643" w:firstLineChars="200"/>
        <w:rPr>
          <w:rFonts w:ascii="宋体" w:hAnsi="宋体" w:eastAsia="宋体"/>
          <w:b/>
          <w:sz w:val="32"/>
          <w:szCs w:val="32"/>
        </w:rPr>
      </w:pPr>
      <w:r>
        <w:rPr>
          <w:rFonts w:hint="eastAsia" w:ascii="宋体" w:hAnsi="宋体" w:eastAsia="宋体"/>
          <w:b/>
          <w:sz w:val="32"/>
          <w:szCs w:val="32"/>
        </w:rPr>
        <w:br w:type="page"/>
      </w:r>
    </w:p>
    <w:p>
      <w:pPr>
        <w:pStyle w:val="3"/>
        <w:spacing w:before="0" w:after="0"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jc w:val="left"/>
        <w:rPr>
          <w:rFonts w:ascii="宋体" w:hAnsi="宋体" w:eastAsia="宋体"/>
          <w:b/>
          <w:sz w:val="24"/>
        </w:rPr>
      </w:pPr>
    </w:p>
    <w:p>
      <w:pPr>
        <w:widowControl/>
        <w:spacing w:line="560" w:lineRule="exact"/>
        <w:jc w:val="left"/>
        <w:rPr>
          <w:rFonts w:ascii="宋体" w:hAnsi="宋体" w:eastAsia="宋体"/>
          <w:sz w:val="24"/>
        </w:rPr>
      </w:pPr>
      <w:r>
        <w:rPr>
          <w:rFonts w:hint="eastAsia" w:ascii="宋体" w:hAnsi="宋体" w:eastAsia="宋体"/>
          <w:sz w:val="24"/>
        </w:rPr>
        <w:t>四川铁道职业学院：</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特此声明。</w:t>
      </w:r>
    </w:p>
    <w:p>
      <w:pPr>
        <w:pStyle w:val="4"/>
        <w:spacing w:before="0" w:after="0" w:line="560" w:lineRule="exact"/>
      </w:pPr>
    </w:p>
    <w:p>
      <w:pPr>
        <w:widowControl/>
        <w:spacing w:line="560" w:lineRule="exac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560" w:lineRule="exac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540" w:lineRule="exact"/>
        <w:ind w:firstLine="480" w:firstLineChars="200"/>
        <w:rPr>
          <w:rFonts w:ascii="宋体" w:hAnsi="宋体" w:eastAsia="宋体"/>
          <w:sz w:val="24"/>
        </w:rPr>
      </w:pPr>
      <w:r>
        <w:rPr>
          <w:rFonts w:hint="eastAsia" w:ascii="宋体" w:hAnsi="宋体" w:eastAsia="宋体"/>
          <w:sz w:val="24"/>
        </w:rPr>
        <w:t>注：</w:t>
      </w:r>
    </w:p>
    <w:p>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before="0" w:after="0" w:line="400" w:lineRule="exact"/>
        <w:jc w:val="center"/>
        <w:rPr>
          <w:rFonts w:ascii="宋体" w:hAnsi="宋体" w:eastAsia="宋体"/>
          <w:sz w:val="32"/>
        </w:rPr>
      </w:pPr>
      <w:r>
        <w:rPr>
          <w:rFonts w:hint="eastAsia" w:ascii="宋体" w:hAnsi="宋体" w:eastAsia="宋体"/>
          <w:sz w:val="32"/>
        </w:rPr>
        <w:t>三、承诺函</w:t>
      </w:r>
    </w:p>
    <w:p>
      <w:pPr>
        <w:widowControl/>
        <w:spacing w:line="530" w:lineRule="exact"/>
        <w:jc w:val="left"/>
        <w:rPr>
          <w:rFonts w:ascii="宋体" w:hAnsi="宋体" w:eastAsia="宋体"/>
          <w:sz w:val="24"/>
        </w:rPr>
      </w:pPr>
      <w:r>
        <w:rPr>
          <w:rFonts w:hint="eastAsia" w:ascii="宋体" w:hAnsi="宋体" w:eastAsia="宋体"/>
          <w:sz w:val="24"/>
        </w:rPr>
        <w:t>四川铁道职业学院：</w:t>
      </w:r>
    </w:p>
    <w:p>
      <w:pPr>
        <w:spacing w:line="530" w:lineRule="exact"/>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530" w:lineRule="exact"/>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530" w:lineRule="exact"/>
        <w:ind w:left="0" w:leftChars="0"/>
        <w:rPr>
          <w:rFonts w:ascii="宋体" w:hAnsi="宋体" w:eastAsia="宋体"/>
        </w:rPr>
      </w:pPr>
    </w:p>
    <w:p>
      <w:pPr>
        <w:widowControl/>
        <w:spacing w:line="530" w:lineRule="exact"/>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530" w:lineRule="exact"/>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530" w:lineRule="exact"/>
        <w:ind w:firstLine="470" w:firstLineChars="196"/>
        <w:jc w:val="left"/>
        <w:rPr>
          <w:rFonts w:ascii="宋体" w:hAnsi="宋体" w:eastAsia="宋体"/>
          <w:sz w:val="24"/>
        </w:rPr>
      </w:pPr>
      <w:r>
        <w:rPr>
          <w:rFonts w:hint="eastAsia" w:ascii="宋体" w:hAnsi="宋体" w:eastAsia="宋体"/>
          <w:sz w:val="24"/>
        </w:rPr>
        <w:t>日    期：XXXX。</w:t>
      </w:r>
    </w:p>
    <w:p>
      <w:pPr>
        <w:spacing w:line="530" w:lineRule="exact"/>
        <w:rPr>
          <w:rFonts w:ascii="宋体" w:hAnsi="宋体" w:eastAsia="宋体"/>
        </w:rPr>
      </w:pPr>
      <w:r>
        <w:rPr>
          <w:rFonts w:ascii="宋体" w:hAnsi="宋体" w:eastAsia="宋体"/>
        </w:rPr>
        <w:br w:type="page"/>
      </w:r>
    </w:p>
    <w:p>
      <w:pPr>
        <w:pStyle w:val="3"/>
        <w:spacing w:before="0" w:after="0" w:line="400" w:lineRule="exact"/>
        <w:jc w:val="center"/>
        <w:rPr>
          <w:rFonts w:ascii="宋体" w:hAnsi="宋体" w:eastAsia="宋体"/>
          <w:sz w:val="32"/>
        </w:rPr>
      </w:pPr>
      <w:bookmarkStart w:id="28" w:name="_Toc217446088"/>
      <w:r>
        <w:rPr>
          <w:rFonts w:hint="eastAsia" w:ascii="宋体" w:hAnsi="宋体" w:eastAsia="宋体"/>
          <w:sz w:val="32"/>
        </w:rPr>
        <w:t>四、申请人基本情况表</w:t>
      </w:r>
      <w:bookmarkEnd w:id="28"/>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56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56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560" w:lineRule="exact"/>
        <w:ind w:firstLine="420" w:firstLineChars="175"/>
        <w:jc w:val="left"/>
        <w:rPr>
          <w:rFonts w:ascii="宋体" w:hAnsi="宋体" w:eastAsia="宋体"/>
          <w:b/>
          <w:sz w:val="24"/>
        </w:rPr>
      </w:pPr>
      <w:r>
        <w:rPr>
          <w:rFonts w:hint="eastAsia" w:ascii="宋体" w:hAnsi="宋体" w:eastAsia="宋体"/>
          <w:sz w:val="24"/>
        </w:rPr>
        <w:t>日期：</w:t>
      </w:r>
    </w:p>
    <w:p>
      <w:pPr>
        <w:spacing w:line="560" w:lineRule="exact"/>
        <w:rPr>
          <w:rFonts w:ascii="宋体" w:hAnsi="宋体" w:eastAsia="宋体"/>
        </w:rPr>
      </w:pPr>
      <w:r>
        <w:rPr>
          <w:rFonts w:ascii="宋体" w:hAnsi="宋体" w:eastAsia="宋体"/>
        </w:rPr>
        <w:br w:type="page"/>
      </w:r>
    </w:p>
    <w:p>
      <w:pPr>
        <w:pStyle w:val="3"/>
        <w:spacing w:before="0" w:after="0" w:line="400" w:lineRule="exact"/>
        <w:jc w:val="center"/>
        <w:rPr>
          <w:rFonts w:ascii="宋体" w:hAnsi="宋体" w:eastAsia="宋体"/>
          <w:sz w:val="32"/>
        </w:rPr>
      </w:pPr>
      <w:bookmarkStart w:id="29" w:name="_Toc217446089"/>
      <w:r>
        <w:rPr>
          <w:rFonts w:hint="eastAsia" w:ascii="宋体" w:hAnsi="宋体" w:eastAsia="宋体"/>
          <w:sz w:val="32"/>
        </w:rPr>
        <w:t>五、申请人类似项目业绩一览表</w:t>
      </w:r>
      <w:bookmarkEnd w:id="29"/>
    </w:p>
    <w:p>
      <w:pPr>
        <w:spacing w:line="400" w:lineRule="exact"/>
        <w:rPr>
          <w:rFonts w:ascii="宋体" w:hAnsi="宋体" w:eastAsia="宋体" w:cs="Arial"/>
          <w:sz w:val="24"/>
        </w:rPr>
      </w:pP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before="0" w:after="0"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2748"/>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748"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38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spacing w:line="360" w:lineRule="auto"/>
              <w:jc w:val="center"/>
              <w:rPr>
                <w:rFonts w:ascii="宋体" w:hAnsi="宋体" w:eastAsia="宋体" w:cs="仿宋"/>
                <w:sz w:val="21"/>
                <w:szCs w:val="21"/>
              </w:rPr>
            </w:pPr>
          </w:p>
        </w:tc>
        <w:tc>
          <w:tcPr>
            <w:tcW w:w="2748" w:type="dxa"/>
            <w:vAlign w:val="center"/>
          </w:tcPr>
          <w:p>
            <w:pPr>
              <w:pStyle w:val="45"/>
              <w:spacing w:line="360" w:lineRule="auto"/>
              <w:jc w:val="center"/>
              <w:rPr>
                <w:rFonts w:ascii="宋体" w:hAnsi="宋体" w:eastAsia="宋体" w:cs="仿宋"/>
                <w:sz w:val="21"/>
                <w:szCs w:val="21"/>
              </w:rPr>
            </w:pPr>
          </w:p>
        </w:tc>
        <w:tc>
          <w:tcPr>
            <w:tcW w:w="2383" w:type="dxa"/>
            <w:vAlign w:val="center"/>
          </w:tcPr>
          <w:p>
            <w:pPr>
              <w:pStyle w:val="45"/>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法定代表人/单位负责人或授权代表（签字或加盖个人印章）：XXX</w:t>
      </w: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日期：XXX年XXX月XXX日</w:t>
      </w: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br w:type="page"/>
      </w:r>
    </w:p>
    <w:p>
      <w:pPr>
        <w:pStyle w:val="3"/>
        <w:spacing w:before="0" w:after="0" w:line="400" w:lineRule="exact"/>
        <w:jc w:val="center"/>
        <w:rPr>
          <w:rFonts w:ascii="宋体" w:hAnsi="宋体" w:eastAsia="宋体"/>
          <w:sz w:val="32"/>
        </w:rPr>
      </w:pPr>
      <w:r>
        <w:rPr>
          <w:rFonts w:hint="eastAsia" w:ascii="宋体" w:hAnsi="宋体" w:eastAsia="宋体"/>
          <w:sz w:val="32"/>
        </w:rPr>
        <w:t>七、商务应答表</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spacing w:line="360" w:lineRule="auto"/>
              <w:jc w:val="center"/>
              <w:rPr>
                <w:rFonts w:ascii="宋体" w:hAnsi="宋体" w:eastAsia="宋体" w:cs="仿宋"/>
                <w:sz w:val="21"/>
                <w:szCs w:val="21"/>
              </w:rPr>
            </w:pPr>
          </w:p>
        </w:tc>
        <w:tc>
          <w:tcPr>
            <w:tcW w:w="2263" w:type="dxa"/>
            <w:vAlign w:val="center"/>
          </w:tcPr>
          <w:p>
            <w:pPr>
              <w:pStyle w:val="45"/>
              <w:spacing w:line="360" w:lineRule="auto"/>
              <w:jc w:val="center"/>
              <w:rPr>
                <w:rFonts w:ascii="宋体" w:hAnsi="宋体" w:eastAsia="宋体" w:cs="仿宋"/>
                <w:sz w:val="21"/>
                <w:szCs w:val="21"/>
              </w:rPr>
            </w:pPr>
          </w:p>
        </w:tc>
        <w:tc>
          <w:tcPr>
            <w:tcW w:w="2263" w:type="dxa"/>
            <w:vAlign w:val="center"/>
          </w:tcPr>
          <w:p>
            <w:pPr>
              <w:pStyle w:val="45"/>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before="0" w:after="0"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pPr>
        <w:spacing w:line="560" w:lineRule="exact"/>
        <w:rPr>
          <w:rFonts w:ascii="宋体" w:hAnsi="宋体" w:eastAsia="宋体" w:cs="仿宋"/>
          <w:sz w:val="24"/>
          <w:szCs w:val="24"/>
        </w:rPr>
      </w:pPr>
      <w:r>
        <w:rPr>
          <w:rFonts w:hint="eastAsia" w:ascii="宋体" w:hAnsi="宋体" w:eastAsia="宋体" w:cs="仿宋"/>
          <w:sz w:val="24"/>
          <w:szCs w:val="24"/>
        </w:rPr>
        <w:t>项目编号：</w:t>
      </w:r>
    </w:p>
    <w:p>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pPr>
        <w:pStyle w:val="23"/>
        <w:spacing w:after="0"/>
        <w:ind w:firstLine="0"/>
        <w:rPr>
          <w:rFonts w:eastAsia="宋体"/>
        </w:rPr>
      </w:pPr>
    </w:p>
    <w:p>
      <w:pPr>
        <w:pStyle w:val="23"/>
        <w:spacing w:after="0"/>
        <w:rPr>
          <w:rFonts w:eastAsia="宋体"/>
        </w:rPr>
      </w:pPr>
    </w:p>
    <w:p>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9"/>
        <w:spacing w:after="0" w:line="560" w:lineRule="exact"/>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before="0" w:after="0"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0" w:firstLineChars="200"/>
        <w:rPr>
          <w:rFonts w:ascii="宋体" w:hAnsi="宋体" w:eastAsia="宋体"/>
          <w:bCs/>
          <w:sz w:val="28"/>
          <w:szCs w:val="28"/>
        </w:rPr>
      </w:pPr>
      <w:r>
        <w:rPr>
          <w:rFonts w:hint="eastAsia" w:ascii="宋体" w:hAnsi="宋体" w:eastAsia="宋体"/>
          <w:bCs/>
          <w:sz w:val="28"/>
          <w:szCs w:val="28"/>
        </w:rPr>
        <w:t>针对比选文件的要求，申请人认为需要提供的其它资料。例如特殊资格条件证明材料等等</w:t>
      </w:r>
    </w:p>
    <w:p>
      <w:pPr>
        <w:jc w:val="center"/>
        <w:rPr>
          <w:rFonts w:ascii="宋体" w:hAnsi="宋体" w:eastAsia="宋体"/>
          <w:bCs/>
          <w:sz w:val="28"/>
          <w:szCs w:val="28"/>
        </w:rPr>
      </w:pPr>
    </w:p>
    <w:p>
      <w:pPr>
        <w:jc w:val="center"/>
        <w:rPr>
          <w:rFonts w:ascii="宋体" w:hAnsi="宋体" w:eastAsia="宋体"/>
          <w:bCs/>
          <w:sz w:val="28"/>
          <w:szCs w:val="28"/>
        </w:rPr>
      </w:pPr>
      <w:r>
        <w:rPr>
          <w:rFonts w:hint="eastAsia" w:ascii="宋体" w:hAnsi="宋体" w:eastAsia="宋体"/>
          <w:bCs/>
          <w:sz w:val="28"/>
          <w:szCs w:val="28"/>
        </w:rPr>
        <w:t>（格式自拟）</w:t>
      </w:r>
    </w:p>
    <w:p>
      <w:pPr>
        <w:pStyle w:val="9"/>
        <w:spacing w:before="29" w:line="219" w:lineRule="auto"/>
        <w:jc w:val="center"/>
        <w:rPr>
          <w:b/>
          <w:bCs/>
          <w:spacing w:val="18"/>
          <w:sz w:val="32"/>
          <w:szCs w:val="32"/>
        </w:rPr>
      </w:pPr>
      <w:r>
        <w:rPr>
          <w:rFonts w:ascii="宋体" w:hAnsi="宋体" w:eastAsia="宋体"/>
        </w:rPr>
        <w:br w:type="page"/>
      </w:r>
      <w:r>
        <w:rPr>
          <w:b/>
          <w:bCs/>
          <w:spacing w:val="18"/>
          <w:sz w:val="32"/>
          <w:szCs w:val="32"/>
        </w:rPr>
        <w:t>采购合同</w:t>
      </w:r>
    </w:p>
    <w:p>
      <w:pPr>
        <w:pStyle w:val="9"/>
        <w:widowControl/>
        <w:kinsoku w:val="0"/>
        <w:autoSpaceDE w:val="0"/>
        <w:autoSpaceDN w:val="0"/>
        <w:adjustRightInd w:val="0"/>
        <w:snapToGrid w:val="0"/>
        <w:spacing w:line="360" w:lineRule="auto"/>
        <w:ind w:firstLine="634" w:firstLineChars="200"/>
        <w:jc w:val="left"/>
        <w:textAlignment w:val="baseline"/>
        <w:rPr>
          <w:rFonts w:ascii="宋体" w:hAnsi="宋体" w:eastAsia="宋体" w:cs="宋体"/>
          <w:b/>
          <w:bCs/>
          <w:spacing w:val="18"/>
          <w:sz w:val="28"/>
          <w:szCs w:val="28"/>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pStyle w:val="64"/>
        <w:shd w:val="clear" w:color="auto" w:fill="FFFFFF"/>
        <w:spacing w:before="0" w:beforeAutospacing="0" w:after="0" w:afterAutospacing="0" w:line="360" w:lineRule="auto"/>
        <w:ind w:firstLine="482" w:firstLineChars="200"/>
        <w:rPr>
          <w:color w:val="000000"/>
        </w:rPr>
      </w:pPr>
      <w:r>
        <w:rPr>
          <w:rFonts w:hint="eastAsia"/>
          <w:b/>
          <w:bCs/>
          <w:color w:val="000000"/>
        </w:rPr>
        <w:t>二、工程地点</w:t>
      </w:r>
      <w:r>
        <w:rPr>
          <w:rFonts w:hint="eastAsia"/>
          <w:color w:val="000000"/>
        </w:rPr>
        <w:t>：四川铁道职业学院校园内</w:t>
      </w:r>
    </w:p>
    <w:p>
      <w:pPr>
        <w:pStyle w:val="64"/>
        <w:shd w:val="clear" w:color="auto" w:fill="FFFFFF"/>
        <w:spacing w:before="0" w:beforeAutospacing="0" w:after="0" w:afterAutospacing="0" w:line="360" w:lineRule="auto"/>
        <w:ind w:firstLine="482" w:firstLineChars="200"/>
        <w:rPr>
          <w:color w:val="000000"/>
        </w:rPr>
      </w:pPr>
      <w:r>
        <w:rPr>
          <w:rFonts w:hint="eastAsia"/>
          <w:b/>
          <w:bCs/>
          <w:color w:val="000000"/>
        </w:rPr>
        <w:t>三、合同清单</w:t>
      </w:r>
    </w:p>
    <w:p>
      <w:pPr>
        <w:pStyle w:val="64"/>
        <w:shd w:val="clear" w:color="auto" w:fill="FFFFFF"/>
        <w:spacing w:before="0" w:beforeAutospacing="0" w:after="0" w:afterAutospacing="0" w:line="360" w:lineRule="auto"/>
        <w:ind w:firstLine="480" w:firstLineChars="200"/>
        <w:rPr>
          <w:color w:val="000000"/>
        </w:rPr>
      </w:pPr>
      <w:r>
        <w:rPr>
          <w:rFonts w:hint="eastAsia"/>
          <w:color w:val="000000"/>
        </w:rPr>
        <w:t>《改造明细表》之报价已包含税金、管理费、措施费、人料机等全部费用，除报价外，甲方不另行支付任何费用。</w:t>
      </w:r>
    </w:p>
    <w:p>
      <w:pPr>
        <w:widowControl/>
        <w:ind w:firstLine="482" w:firstLineChars="200"/>
        <w:textAlignment w:val="center"/>
        <w:rPr>
          <w:rFonts w:ascii="宋体" w:hAnsi="宋体" w:eastAsia="宋体" w:cs="宋体"/>
          <w:b/>
          <w:bCs/>
          <w:color w:val="000000"/>
          <w:kern w:val="0"/>
          <w:sz w:val="24"/>
        </w:rPr>
      </w:pPr>
      <w:r>
        <w:rPr>
          <w:rFonts w:hint="eastAsia" w:ascii="宋体" w:hAnsi="宋体" w:eastAsia="宋体" w:cs="宋体"/>
          <w:b/>
          <w:bCs/>
          <w:color w:val="000000"/>
          <w:kern w:val="0"/>
          <w:sz w:val="24"/>
        </w:rPr>
        <w:t>四、合同价款与支付</w:t>
      </w:r>
    </w:p>
    <w:p>
      <w:pPr>
        <w:pStyle w:val="6"/>
        <w:spacing w:line="360" w:lineRule="auto"/>
        <w:ind w:firstLineChars="0"/>
        <w:rPr>
          <w:rFonts w:ascii="宋体" w:hAnsi="宋体" w:cs="仿宋"/>
          <w:sz w:val="24"/>
        </w:rPr>
      </w:pPr>
      <w:r>
        <w:rPr>
          <w:rFonts w:hint="eastAsia" w:ascii="宋体" w:hAnsi="宋体" w:cs="仿宋"/>
          <w:sz w:val="24"/>
        </w:rPr>
        <w:t>合同总价为</w:t>
      </w:r>
      <w:r>
        <w:rPr>
          <w:rFonts w:hint="eastAsia" w:ascii="宋体" w:hAnsi="宋体" w:cs="仿宋"/>
          <w:b/>
          <w:sz w:val="24"/>
          <w:u w:val="single"/>
        </w:rPr>
        <w:t>人民币大写：</w:t>
      </w:r>
      <w:r>
        <w:rPr>
          <w:rFonts w:hint="eastAsia" w:ascii="宋体" w:hAnsi="宋体" w:cs="仿宋"/>
          <w:sz w:val="24"/>
        </w:rPr>
        <w:t>，即</w:t>
      </w:r>
      <w:r>
        <w:rPr>
          <w:rFonts w:hint="eastAsia" w:ascii="宋体" w:hAnsi="宋体" w:cs="仿宋"/>
          <w:b/>
          <w:sz w:val="24"/>
          <w:u w:val="single"/>
        </w:rPr>
        <w:t>RMB￥元</w:t>
      </w:r>
      <w:r>
        <w:rPr>
          <w:rFonts w:hint="eastAsia" w:ascii="宋体" w:hAnsi="宋体" w:cs="仿宋"/>
          <w:sz w:val="24"/>
        </w:rPr>
        <w:t>；该合同总价已包括改造设计、材料、制造、包装、运输、验收合格交付使用之前及保修期内保修服务等所有其他有关各项的含税费用。本合同执行期间合同总价不变，甲方无须另向乙方支付本合同规定之外的其他任何费用。</w:t>
      </w:r>
    </w:p>
    <w:p>
      <w:pPr>
        <w:widowControl/>
        <w:spacing w:line="360" w:lineRule="auto"/>
        <w:ind w:firstLine="480" w:firstLineChars="200"/>
        <w:textAlignment w:val="center"/>
        <w:rPr>
          <w:rFonts w:ascii="宋体" w:hAnsi="宋体" w:eastAsia="宋体" w:cs="宋体"/>
          <w:color w:val="000000"/>
          <w:kern w:val="0"/>
          <w:sz w:val="24"/>
        </w:rPr>
      </w:pPr>
      <w:r>
        <w:rPr>
          <w:rFonts w:hint="eastAsia" w:ascii="宋体" w:hAnsi="宋体" w:eastAsia="宋体" w:cs="宋体"/>
          <w:color w:val="000000"/>
          <w:kern w:val="0"/>
          <w:sz w:val="24"/>
        </w:rPr>
        <w:t>甲方在最终验收合格后接到乙方向甲方出具合法有效完整的完税发票及凭证资料后的 十 个工作日内支付全部工程款。</w:t>
      </w:r>
    </w:p>
    <w:p>
      <w:pPr>
        <w:pStyle w:val="64"/>
        <w:shd w:val="clear" w:color="auto" w:fill="FFFFFF"/>
        <w:spacing w:before="0" w:beforeAutospacing="0" w:after="0" w:afterAutospacing="0" w:line="360" w:lineRule="auto"/>
        <w:ind w:firstLine="482" w:firstLineChars="200"/>
        <w:rPr>
          <w:rFonts w:cs="Times New Roman"/>
          <w:color w:val="000000"/>
        </w:rPr>
      </w:pPr>
      <w:r>
        <w:rPr>
          <w:rFonts w:hint="eastAsia"/>
          <w:b/>
          <w:bCs/>
          <w:color w:val="000000"/>
        </w:rPr>
        <w:t>五、承包方式</w:t>
      </w:r>
      <w:r>
        <w:rPr>
          <w:rFonts w:hint="eastAsia"/>
          <w:color w:val="000000"/>
        </w:rPr>
        <w:t>：乙方包人工、包材料、包工期。</w:t>
      </w:r>
    </w:p>
    <w:p>
      <w:pPr>
        <w:pStyle w:val="64"/>
        <w:shd w:val="clear" w:color="auto" w:fill="FFFFFF"/>
        <w:spacing w:before="0" w:beforeAutospacing="0" w:after="0" w:afterAutospacing="0" w:line="360" w:lineRule="auto"/>
        <w:ind w:firstLine="482" w:firstLineChars="200"/>
        <w:rPr>
          <w:rFonts w:cs="Times New Roman"/>
          <w:color w:val="000000"/>
        </w:rPr>
      </w:pPr>
      <w:r>
        <w:rPr>
          <w:rFonts w:hint="eastAsia"/>
          <w:b/>
          <w:bCs/>
          <w:color w:val="000000"/>
        </w:rPr>
        <w:t>六、合同周期</w:t>
      </w:r>
      <w:r>
        <w:rPr>
          <w:rFonts w:hint="eastAsia"/>
          <w:color w:val="000000"/>
        </w:rPr>
        <w:t>：合同签订后</w:t>
      </w:r>
      <w:r>
        <w:rPr>
          <w:color w:val="000000"/>
        </w:rPr>
        <w:t>30</w:t>
      </w:r>
      <w:r>
        <w:rPr>
          <w:rFonts w:hint="eastAsia"/>
          <w:color w:val="000000"/>
        </w:rPr>
        <w:t>日完成施工。</w:t>
      </w:r>
    </w:p>
    <w:p>
      <w:pPr>
        <w:pStyle w:val="64"/>
        <w:shd w:val="clear" w:color="auto" w:fill="FFFFFF"/>
        <w:spacing w:before="0" w:beforeAutospacing="0" w:after="0" w:afterAutospacing="0" w:line="360" w:lineRule="auto"/>
        <w:ind w:firstLine="482" w:firstLineChars="200"/>
        <w:rPr>
          <w:b/>
          <w:bCs/>
          <w:color w:val="000000"/>
        </w:rPr>
      </w:pPr>
      <w:r>
        <w:rPr>
          <w:rFonts w:hint="eastAsia"/>
          <w:b/>
          <w:bCs/>
          <w:color w:val="000000"/>
        </w:rPr>
        <w:t>七、工程要求</w:t>
      </w:r>
    </w:p>
    <w:p>
      <w:pPr>
        <w:adjustRightInd w:val="0"/>
        <w:snapToGrid w:val="0"/>
        <w:spacing w:line="360" w:lineRule="auto"/>
        <w:ind w:firstLine="480" w:firstLineChars="200"/>
        <w:rPr>
          <w:rFonts w:ascii="宋体" w:hAnsi="宋体" w:eastAsia="宋体" w:cs="宋体"/>
          <w:color w:val="000000"/>
          <w:kern w:val="0"/>
          <w:sz w:val="24"/>
        </w:rPr>
      </w:pPr>
      <w:r>
        <w:rPr>
          <w:rFonts w:ascii="宋体" w:hAnsi="宋体" w:eastAsia="宋体" w:cs="宋体"/>
          <w:color w:val="000000"/>
          <w:kern w:val="0"/>
          <w:sz w:val="24"/>
        </w:rPr>
        <w:t>1</w:t>
      </w:r>
      <w:r>
        <w:rPr>
          <w:rFonts w:hint="eastAsia" w:ascii="宋体" w:hAnsi="宋体" w:eastAsia="宋体" w:cs="宋体"/>
          <w:color w:val="000000"/>
          <w:kern w:val="0"/>
          <w:sz w:val="24"/>
        </w:rPr>
        <w:t xml:space="preserve">.工程质量应达到合同约定的质量标准，质量标准的评定以国家或行业的质量检验评定标准为依据。因乙方原因工程质量达不到约定的质量标准，乙方承担违约责任。  </w:t>
      </w:r>
    </w:p>
    <w:p>
      <w:pPr>
        <w:adjustRightInd w:val="0"/>
        <w:snapToGrid w:val="0"/>
        <w:spacing w:line="360" w:lineRule="auto"/>
        <w:rPr>
          <w:rFonts w:ascii="宋体" w:hAnsi="宋体" w:eastAsia="宋体" w:cs="宋体"/>
          <w:color w:val="000000"/>
          <w:kern w:val="0"/>
          <w:sz w:val="24"/>
        </w:rPr>
      </w:pPr>
      <w:r>
        <w:rPr>
          <w:rFonts w:hint="eastAsia" w:ascii="宋体" w:hAnsi="宋体" w:eastAsia="宋体" w:cs="宋体"/>
          <w:color w:val="000000"/>
          <w:kern w:val="0"/>
          <w:sz w:val="24"/>
        </w:rPr>
        <w:t xml:space="preserve">    </w:t>
      </w:r>
      <w:r>
        <w:rPr>
          <w:rFonts w:ascii="宋体" w:hAnsi="宋体" w:eastAsia="宋体" w:cs="宋体"/>
          <w:color w:val="000000"/>
          <w:kern w:val="0"/>
          <w:sz w:val="24"/>
        </w:rPr>
        <w:t>2</w:t>
      </w:r>
      <w:r>
        <w:rPr>
          <w:rFonts w:hint="eastAsia" w:ascii="宋体" w:hAnsi="宋体" w:eastAsia="宋体" w:cs="宋体"/>
          <w:color w:val="000000"/>
          <w:kern w:val="0"/>
          <w:sz w:val="24"/>
        </w:rPr>
        <w:t>.质量保修：乙方应按法律、行政法规或国家关于工程质量保修的有关规定，对交付甲方使用的工程在质量保修期内承担质量保修责任。</w:t>
      </w:r>
    </w:p>
    <w:p>
      <w:pPr>
        <w:pStyle w:val="64"/>
        <w:shd w:val="clear" w:color="auto" w:fill="FFFFFF"/>
        <w:spacing w:before="0" w:beforeAutospacing="0" w:after="0" w:afterAutospacing="0" w:line="360" w:lineRule="auto"/>
        <w:ind w:firstLine="482" w:firstLineChars="200"/>
        <w:rPr>
          <w:color w:val="000000"/>
        </w:rPr>
      </w:pPr>
      <w:r>
        <w:rPr>
          <w:rFonts w:hint="eastAsia"/>
          <w:b/>
          <w:bCs/>
          <w:color w:val="000000"/>
        </w:rPr>
        <w:t>八、</w:t>
      </w:r>
      <w:r>
        <w:rPr>
          <w:rFonts w:hint="eastAsia" w:cs="仿宋"/>
          <w:b/>
        </w:rPr>
        <w:t>售后服务</w:t>
      </w:r>
    </w:p>
    <w:p>
      <w:pPr>
        <w:pStyle w:val="46"/>
        <w:spacing w:line="360" w:lineRule="auto"/>
        <w:ind w:firstLine="480"/>
        <w:rPr>
          <w:rFonts w:ascii="宋体" w:hAnsi="宋体" w:eastAsia="宋体" w:cs="仿宋"/>
          <w:szCs w:val="24"/>
        </w:rPr>
      </w:pPr>
      <w:r>
        <w:rPr>
          <w:rFonts w:hint="eastAsia" w:ascii="宋体" w:hAnsi="宋体" w:eastAsia="宋体" w:cs="仿宋"/>
          <w:szCs w:val="24"/>
        </w:rPr>
        <w:t>1、质保期为验收合格后</w:t>
      </w:r>
      <w:r>
        <w:rPr>
          <w:rFonts w:ascii="宋体" w:hAnsi="宋体" w:eastAsia="宋体" w:cs="仿宋"/>
          <w:szCs w:val="24"/>
        </w:rPr>
        <w:t>1</w:t>
      </w:r>
      <w:r>
        <w:rPr>
          <w:rFonts w:hint="eastAsia" w:ascii="宋体" w:hAnsi="宋体" w:eastAsia="宋体" w:cs="仿宋"/>
          <w:szCs w:val="24"/>
        </w:rPr>
        <w:t>年，质保期内出现质量问题，乙方在接到通知后8小时内响应到场。</w:t>
      </w:r>
    </w:p>
    <w:p>
      <w:pPr>
        <w:pStyle w:val="46"/>
        <w:spacing w:line="360" w:lineRule="auto"/>
        <w:ind w:firstLine="480"/>
        <w:rPr>
          <w:rFonts w:ascii="宋体" w:hAnsi="宋体" w:eastAsia="宋体" w:cs="仿宋"/>
          <w:szCs w:val="24"/>
        </w:rPr>
      </w:pPr>
      <w:r>
        <w:rPr>
          <w:rFonts w:hint="eastAsia" w:ascii="宋体" w:hAnsi="宋体" w:eastAsia="宋体" w:cs="仿宋"/>
          <w:szCs w:val="24"/>
        </w:rPr>
        <w:t>2、乙方应具备可靠的服务能力，具备专职服务工程师，并提供终身售后服务。</w:t>
      </w:r>
    </w:p>
    <w:p>
      <w:pPr>
        <w:pStyle w:val="46"/>
        <w:spacing w:line="360" w:lineRule="auto"/>
        <w:ind w:left="480" w:firstLine="0" w:firstLineChars="0"/>
        <w:rPr>
          <w:rFonts w:ascii="宋体" w:hAnsi="宋体" w:eastAsia="宋体" w:cs="仿宋"/>
          <w:szCs w:val="24"/>
        </w:rPr>
      </w:pPr>
      <w:r>
        <w:rPr>
          <w:rFonts w:hint="eastAsia" w:ascii="宋体" w:hAnsi="宋体" w:eastAsia="宋体" w:cs="仿宋"/>
          <w:szCs w:val="24"/>
        </w:rPr>
        <w:t>3、乙方须指派专人负责与甲方联系售后服务事宜。 </w:t>
      </w:r>
    </w:p>
    <w:p>
      <w:pPr>
        <w:pStyle w:val="64"/>
        <w:shd w:val="clear" w:color="auto" w:fill="FFFFFF"/>
        <w:spacing w:before="0" w:beforeAutospacing="0" w:after="0" w:afterAutospacing="0" w:line="360" w:lineRule="auto"/>
        <w:ind w:firstLine="482" w:firstLineChars="200"/>
        <w:rPr>
          <w:rFonts w:cs="Times New Roman"/>
          <w:b/>
          <w:bCs/>
          <w:color w:val="000000"/>
        </w:rPr>
      </w:pPr>
      <w:r>
        <w:rPr>
          <w:rFonts w:hint="eastAsia"/>
          <w:b/>
          <w:bCs/>
          <w:color w:val="000000"/>
        </w:rPr>
        <w:t>九、责任范围</w:t>
      </w:r>
    </w:p>
    <w:p>
      <w:pPr>
        <w:pStyle w:val="64"/>
        <w:shd w:val="clear" w:color="auto" w:fill="FFFFFF"/>
        <w:spacing w:before="0" w:beforeAutospacing="0" w:after="0" w:afterAutospacing="0" w:line="360" w:lineRule="auto"/>
        <w:ind w:firstLine="480" w:firstLineChars="200"/>
        <w:rPr>
          <w:rFonts w:cs="Times New Roman"/>
          <w:color w:val="000000"/>
        </w:rPr>
      </w:pPr>
      <w:r>
        <w:rPr>
          <w:rFonts w:hint="eastAsia"/>
          <w:color w:val="000000"/>
        </w:rPr>
        <w:t>（一）甲方的责任</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1</w:t>
      </w:r>
      <w:r>
        <w:rPr>
          <w:rFonts w:hint="eastAsia"/>
          <w:color w:val="000000"/>
        </w:rPr>
        <w:t>、甲方提供乙方工程用水、用电，并承担由此产生的费用。</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2</w:t>
      </w:r>
      <w:r>
        <w:rPr>
          <w:rFonts w:hint="eastAsia"/>
          <w:color w:val="000000"/>
        </w:rPr>
        <w:t>、按约定支付乙方改造款。</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3</w:t>
      </w:r>
      <w:r>
        <w:rPr>
          <w:rFonts w:hint="eastAsia"/>
          <w:color w:val="000000"/>
        </w:rPr>
        <w:t>、负责组织改造项目的竣工验收。</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rFonts w:hint="eastAsia"/>
          <w:color w:val="000000"/>
        </w:rPr>
        <w:t>（二）乙方的责任</w:t>
      </w:r>
    </w:p>
    <w:p>
      <w:pPr>
        <w:pStyle w:val="64"/>
        <w:shd w:val="clear" w:color="auto" w:fill="FFFFFF"/>
        <w:spacing w:before="0" w:beforeAutospacing="0" w:after="0" w:afterAutospacing="0" w:line="360" w:lineRule="auto"/>
        <w:ind w:firstLine="480" w:firstLineChars="200"/>
        <w:rPr>
          <w:rFonts w:cs="Times New Roman"/>
          <w:color w:val="000000"/>
        </w:rPr>
      </w:pPr>
      <w:r>
        <w:rPr>
          <w:color w:val="000000"/>
        </w:rPr>
        <w:t>1</w:t>
      </w:r>
      <w:r>
        <w:rPr>
          <w:rFonts w:hint="eastAsia"/>
          <w:color w:val="000000"/>
        </w:rPr>
        <w:t>、严格按已批准的改造方案及甲方的要求及说明进行施工，保证质量，按时完工并交付使用，乙方对所改造项目负责保修，项目的保修期为一年，项目保修期自各自验收合格之日起算。</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color w:val="000000"/>
        </w:rPr>
        <w:t>2</w:t>
      </w:r>
      <w:r>
        <w:rPr>
          <w:rFonts w:hint="eastAsia"/>
          <w:color w:val="000000"/>
        </w:rPr>
        <w:t>、负责提供全部竣工验收资料，参加甲方组织的工程竣工验收，办理竣工结算。</w:t>
      </w:r>
    </w:p>
    <w:p>
      <w:pPr>
        <w:pStyle w:val="64"/>
        <w:shd w:val="clear" w:color="auto" w:fill="FFFFFF"/>
        <w:spacing w:before="0" w:beforeAutospacing="0" w:after="0" w:afterAutospacing="0" w:line="360" w:lineRule="auto"/>
        <w:ind w:firstLine="480" w:firstLineChars="200"/>
        <w:rPr>
          <w:color w:val="000000"/>
        </w:rPr>
      </w:pPr>
      <w:r>
        <w:rPr>
          <w:color w:val="000000"/>
        </w:rPr>
        <w:t>3</w:t>
      </w:r>
      <w:r>
        <w:rPr>
          <w:rFonts w:hint="eastAsia"/>
          <w:color w:val="000000"/>
        </w:rPr>
        <w:t>、在施工期间做好现场防火、防盗及安全生产工作、文明施工，工作中甲方不对乙方材料、设备等财产安全负责，因乙方施工过程或者施工后的工程质量问题引起的乙方人员、甲方人员或任何第三人的人身安全事故及其他事故，由乙方承担全部责任和损失。</w:t>
      </w:r>
    </w:p>
    <w:p>
      <w:pPr>
        <w:pStyle w:val="64"/>
        <w:shd w:val="clear" w:color="auto" w:fill="FFFFFF"/>
        <w:spacing w:before="0" w:beforeAutospacing="0" w:after="0" w:afterAutospacing="0" w:line="360" w:lineRule="auto"/>
        <w:ind w:firstLine="480" w:firstLineChars="200"/>
        <w:rPr>
          <w:rFonts w:cs="Times New Roman"/>
          <w:color w:val="000000"/>
        </w:rPr>
      </w:pPr>
      <w:r>
        <w:rPr>
          <w:color w:val="000000"/>
        </w:rPr>
        <w:t>4</w:t>
      </w:r>
      <w:r>
        <w:rPr>
          <w:rFonts w:hint="eastAsia"/>
          <w:color w:val="000000"/>
        </w:rPr>
        <w:t>、乙方在施工期间不得损坏甲方设施，若有损坏现象，乙方需原价赔偿。</w:t>
      </w:r>
    </w:p>
    <w:p>
      <w:pPr>
        <w:pStyle w:val="64"/>
        <w:shd w:val="clear" w:color="auto" w:fill="FFFFFF"/>
        <w:spacing w:before="0" w:beforeAutospacing="0" w:after="0" w:afterAutospacing="0" w:line="360" w:lineRule="auto"/>
        <w:ind w:firstLine="482" w:firstLineChars="200"/>
        <w:rPr>
          <w:rFonts w:cs="Times New Roman"/>
          <w:b/>
          <w:bCs/>
          <w:color w:val="000000"/>
        </w:rPr>
      </w:pPr>
      <w:r>
        <w:rPr>
          <w:rFonts w:hint="eastAsia"/>
          <w:b/>
          <w:bCs/>
          <w:color w:val="000000"/>
        </w:rPr>
        <w:t>十、违约责任</w:t>
      </w:r>
    </w:p>
    <w:p>
      <w:pPr>
        <w:pStyle w:val="64"/>
        <w:shd w:val="clear" w:color="auto" w:fill="FFFFFF"/>
        <w:spacing w:before="0" w:beforeAutospacing="0" w:after="0" w:afterAutospacing="0" w:line="360" w:lineRule="auto"/>
        <w:rPr>
          <w:color w:val="000000"/>
        </w:rPr>
      </w:pPr>
      <w:r>
        <w:rPr>
          <w:rFonts w:cs="Times New Roman"/>
          <w:color w:val="000000"/>
        </w:rPr>
        <w:t>  </w:t>
      </w:r>
      <w:r>
        <w:rPr>
          <w:rFonts w:hint="eastAsia" w:cs="Times New Roman"/>
          <w:color w:val="000000"/>
        </w:rPr>
        <w:t>1、</w:t>
      </w:r>
      <w:r>
        <w:rPr>
          <w:rFonts w:hint="eastAsia"/>
          <w:color w:val="000000"/>
        </w:rPr>
        <w:t>如属乙方责任所发生施工质量问题，乙方必须无条件返工，由此产生的费用由乙方承担，因此导致工期逾期的，每逾期一天应承担工程款日万分之五的违约金，造成甲方损失的还应赔偿全部损失，甲方有权直接从工程款中扣除乙方应承担的违约金或损失。</w:t>
      </w:r>
    </w:p>
    <w:p>
      <w:pPr>
        <w:pStyle w:val="64"/>
        <w:shd w:val="clear" w:color="auto" w:fill="FFFFFF"/>
        <w:spacing w:before="0" w:beforeAutospacing="0" w:after="0" w:afterAutospacing="0" w:line="360" w:lineRule="auto"/>
        <w:rPr>
          <w:color w:val="000000"/>
        </w:rPr>
      </w:pPr>
      <w:r>
        <w:rPr>
          <w:rFonts w:hint="eastAsia"/>
          <w:color w:val="000000"/>
        </w:rPr>
        <w:t xml:space="preserve">    2、甲方应按约及时结算工程价款，否则乙方可向甲方主张工程欠款的利息损失；乙方未及时提交竣工结算资料或存在其他违约行为，甲方有权拒付款项并不承担逾期付款责任。</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rFonts w:cs="Times New Roman"/>
          <w:b/>
          <w:bCs/>
          <w:color w:val="000000"/>
        </w:rPr>
        <w:t> </w:t>
      </w:r>
      <w:r>
        <w:rPr>
          <w:rFonts w:hint="eastAsia"/>
          <w:b/>
          <w:bCs/>
          <w:color w:val="000000"/>
        </w:rPr>
        <w:t>十一、其他事项</w:t>
      </w:r>
    </w:p>
    <w:p>
      <w:pPr>
        <w:pStyle w:val="64"/>
        <w:shd w:val="clear" w:color="auto" w:fill="FFFFFF"/>
        <w:spacing w:before="0" w:beforeAutospacing="0" w:after="0" w:afterAutospacing="0" w:line="360" w:lineRule="auto"/>
        <w:rPr>
          <w:color w:val="000000"/>
          <w:spacing w:val="2"/>
        </w:rPr>
      </w:pPr>
      <w:r>
        <w:rPr>
          <w:rFonts w:cs="Times New Roman"/>
          <w:color w:val="000000"/>
        </w:rPr>
        <w:t>  </w:t>
      </w:r>
      <w:r>
        <w:rPr>
          <w:color w:val="000000"/>
        </w:rPr>
        <w:t>1</w:t>
      </w:r>
      <w:r>
        <w:rPr>
          <w:rFonts w:hint="eastAsia"/>
          <w:color w:val="000000"/>
        </w:rPr>
        <w:t>、本合同未尽事宜，双方另行签订补充协议，</w:t>
      </w:r>
      <w:r>
        <w:rPr>
          <w:rFonts w:hint="eastAsia"/>
          <w:color w:val="000000"/>
          <w:spacing w:val="2"/>
        </w:rPr>
        <w:t>补充协议具有同等法律效力。</w:t>
      </w:r>
    </w:p>
    <w:p>
      <w:pPr>
        <w:pStyle w:val="64"/>
        <w:shd w:val="clear" w:color="auto" w:fill="FFFFFF"/>
        <w:spacing w:before="0" w:beforeAutospacing="0" w:after="0" w:afterAutospacing="0" w:line="360" w:lineRule="auto"/>
        <w:rPr>
          <w:color w:val="000000"/>
          <w:spacing w:val="2"/>
        </w:rPr>
      </w:pPr>
      <w:r>
        <w:rPr>
          <w:rFonts w:hint="eastAsia"/>
          <w:color w:val="000000"/>
          <w:spacing w:val="2"/>
        </w:rPr>
        <w:t xml:space="preserve">    2、在履行合同中如发生争议，双方协商解决，协商不成的可向工程所在地人民法院起诉。</w:t>
      </w:r>
    </w:p>
    <w:p>
      <w:pPr>
        <w:pStyle w:val="64"/>
        <w:shd w:val="clear" w:color="auto" w:fill="FFFFFF"/>
        <w:spacing w:before="0" w:beforeAutospacing="0" w:after="0" w:afterAutospacing="0" w:line="360" w:lineRule="auto"/>
        <w:rPr>
          <w:rFonts w:cs="Times New Roman"/>
          <w:color w:val="000000"/>
        </w:rPr>
      </w:pPr>
      <w:r>
        <w:rPr>
          <w:rFonts w:cs="Times New Roman"/>
          <w:color w:val="000000"/>
        </w:rPr>
        <w:t>  </w:t>
      </w:r>
      <w:r>
        <w:rPr>
          <w:rFonts w:hint="eastAsia"/>
          <w:color w:val="000000"/>
        </w:rPr>
        <w:t>3、本合同一式</w:t>
      </w:r>
      <w:r>
        <w:rPr>
          <w:rFonts w:hint="eastAsia"/>
          <w:color w:val="000000"/>
          <w:u w:val="single"/>
        </w:rPr>
        <w:t>柒份</w:t>
      </w:r>
      <w:r>
        <w:rPr>
          <w:rFonts w:hint="eastAsia"/>
          <w:color w:val="000000"/>
        </w:rPr>
        <w:t>，甲方执</w:t>
      </w:r>
      <w:r>
        <w:rPr>
          <w:rFonts w:hint="eastAsia"/>
          <w:color w:val="000000"/>
          <w:u w:val="single"/>
        </w:rPr>
        <w:t>陆份</w:t>
      </w:r>
      <w:r>
        <w:rPr>
          <w:rFonts w:hint="eastAsia"/>
          <w:color w:val="000000"/>
        </w:rPr>
        <w:t>，乙方执</w:t>
      </w:r>
      <w:r>
        <w:rPr>
          <w:rFonts w:hint="eastAsia"/>
          <w:color w:val="000000"/>
          <w:u w:val="single"/>
        </w:rPr>
        <w:t>壹份</w:t>
      </w:r>
      <w:r>
        <w:rPr>
          <w:rFonts w:hint="eastAsia"/>
          <w:color w:val="000000"/>
        </w:rPr>
        <w:t>，经双方签字并盖章后生效。</w:t>
      </w:r>
    </w:p>
    <w:p>
      <w:pPr>
        <w:pStyle w:val="64"/>
        <w:shd w:val="clear" w:color="auto" w:fill="FFFFFF"/>
        <w:spacing w:before="0" w:beforeAutospacing="0" w:after="0" w:afterAutospacing="0" w:line="480" w:lineRule="auto"/>
        <w:ind w:left="5783" w:hanging="5783" w:hangingChars="2400"/>
        <w:rPr>
          <w:rFonts w:cs="Times New Roman"/>
          <w:b/>
          <w:color w:val="000000"/>
        </w:rPr>
      </w:pPr>
      <w:r>
        <w:rPr>
          <w:rFonts w:hint="eastAsia"/>
          <w:b/>
          <w:color w:val="000000"/>
        </w:rPr>
        <w:t>甲方：</w:t>
      </w:r>
      <w:r>
        <w:rPr>
          <w:b/>
          <w:color w:val="000000"/>
        </w:rPr>
        <w:t xml:space="preserve"> </w:t>
      </w:r>
      <w:r>
        <w:rPr>
          <w:rFonts w:hint="eastAsia"/>
          <w:b/>
          <w:color w:val="000000"/>
        </w:rPr>
        <w:t>（公章）</w:t>
      </w:r>
      <w:r>
        <w:rPr>
          <w:b/>
          <w:color w:val="000000"/>
        </w:rPr>
        <w:t xml:space="preserve">                         乙方：（公章）</w:t>
      </w:r>
    </w:p>
    <w:p>
      <w:pPr>
        <w:pStyle w:val="64"/>
        <w:shd w:val="clear" w:color="auto" w:fill="FFFFFF"/>
        <w:spacing w:before="0" w:beforeAutospacing="0" w:after="0" w:afterAutospacing="0" w:line="480" w:lineRule="auto"/>
        <w:rPr>
          <w:b/>
          <w:color w:val="000000"/>
        </w:rPr>
      </w:pPr>
      <w:r>
        <w:rPr>
          <w:rFonts w:hint="eastAsia"/>
          <w:b/>
          <w:color w:val="000000"/>
        </w:rPr>
        <w:t>法定代表人或委托人：</w:t>
      </w:r>
      <w:r>
        <w:rPr>
          <w:b/>
          <w:color w:val="000000"/>
        </w:rPr>
        <w:t xml:space="preserve"> </w:t>
      </w:r>
      <w:r>
        <w:rPr>
          <w:rFonts w:hint="eastAsia"/>
          <w:b/>
          <w:color w:val="000000"/>
        </w:rPr>
        <w:t xml:space="preserve"> </w:t>
      </w:r>
      <w:r>
        <w:rPr>
          <w:b/>
          <w:color w:val="000000"/>
        </w:rPr>
        <w:t xml:space="preserve">                   </w:t>
      </w:r>
      <w:r>
        <w:rPr>
          <w:rFonts w:hint="eastAsia"/>
          <w:b/>
          <w:color w:val="000000"/>
        </w:rPr>
        <w:t>法定代表人或委托人：</w:t>
      </w:r>
    </w:p>
    <w:p>
      <w:pPr>
        <w:pStyle w:val="64"/>
        <w:shd w:val="clear" w:color="auto" w:fill="FFFFFF"/>
        <w:spacing w:before="0" w:beforeAutospacing="0" w:after="0" w:afterAutospacing="0" w:line="480" w:lineRule="auto"/>
        <w:rPr>
          <w:b/>
          <w:color w:val="000000"/>
        </w:rPr>
      </w:pPr>
      <w:r>
        <w:rPr>
          <w:rFonts w:hint="eastAsia"/>
          <w:b/>
          <w:color w:val="000000"/>
        </w:rPr>
        <w:t>开户行及账号：</w:t>
      </w:r>
      <w:r>
        <w:rPr>
          <w:b/>
          <w:color w:val="000000"/>
        </w:rPr>
        <w:t xml:space="preserve">                          开户行及账号：</w:t>
      </w:r>
    </w:p>
    <w:p>
      <w:pPr>
        <w:pStyle w:val="64"/>
        <w:shd w:val="clear" w:color="auto" w:fill="FFFFFF"/>
        <w:spacing w:before="0" w:beforeAutospacing="0" w:after="0" w:afterAutospacing="0" w:line="480" w:lineRule="auto"/>
        <w:rPr>
          <w:b/>
          <w:color w:val="000000"/>
        </w:rPr>
      </w:pP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r>
        <w:rPr>
          <w:b/>
          <w:color w:val="000000"/>
        </w:rPr>
        <w:t xml:space="preserve">                             </w:t>
      </w:r>
      <w:r>
        <w:rPr>
          <w:rFonts w:hint="eastAsia"/>
          <w:b/>
          <w:color w:val="000000"/>
        </w:rPr>
        <w:t xml:space="preserve"> </w:t>
      </w:r>
      <w:r>
        <w:rPr>
          <w:b/>
          <w:color w:val="000000"/>
        </w:rPr>
        <w:t xml:space="preserve"> </w:t>
      </w: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pPr>
        <w:rPr>
          <w:rFonts w:ascii="宋体" w:hAnsi="宋体" w:eastAsia="宋体" w:cs="仿宋"/>
          <w:sz w:val="24"/>
        </w:rPr>
      </w:pPr>
    </w:p>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p>
    <w:sectPr>
      <w:headerReference r:id="rId5" w:type="default"/>
      <w:footerReference r:id="rId6"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Microsoft YaHei UI"/>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74" w:lineRule="auto"/>
      <w:ind w:left="4649"/>
      <w:rPr>
        <w:sz w:val="24"/>
        <w:szCs w:val="24"/>
      </w:rPr>
    </w:pPr>
    <w:r>
      <w:rPr>
        <w:spacing w:val="-7"/>
        <w:w w:val="54"/>
        <w:sz w:val="24"/>
        <w:szCs w:val="24"/>
      </w:rPr>
      <w:t>—</w:t>
    </w:r>
    <w:r>
      <w:rPr>
        <w:spacing w:val="-19"/>
        <w:w w:val="94"/>
        <w:sz w:val="24"/>
        <w:szCs w:val="2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9B0C"/>
    <w:multiLevelType w:val="singleLevel"/>
    <w:tmpl w:val="10289B0C"/>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5E74B9EE"/>
    <w:multiLevelType w:val="singleLevel"/>
    <w:tmpl w:val="5E74B9EE"/>
    <w:lvl w:ilvl="0" w:tentative="0">
      <w:start w:val="1"/>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CD5AE8"/>
    <w:rsid w:val="00004412"/>
    <w:rsid w:val="000432F2"/>
    <w:rsid w:val="00060E70"/>
    <w:rsid w:val="00067298"/>
    <w:rsid w:val="000A3154"/>
    <w:rsid w:val="000B07A6"/>
    <w:rsid w:val="00161120"/>
    <w:rsid w:val="001802E8"/>
    <w:rsid w:val="00195B54"/>
    <w:rsid w:val="001D075C"/>
    <w:rsid w:val="001D5AF5"/>
    <w:rsid w:val="00211B0D"/>
    <w:rsid w:val="0024094B"/>
    <w:rsid w:val="002503E2"/>
    <w:rsid w:val="002623F4"/>
    <w:rsid w:val="00267100"/>
    <w:rsid w:val="002F6A92"/>
    <w:rsid w:val="003069FB"/>
    <w:rsid w:val="00324A0A"/>
    <w:rsid w:val="00334F15"/>
    <w:rsid w:val="003569BD"/>
    <w:rsid w:val="00357EDC"/>
    <w:rsid w:val="003738CF"/>
    <w:rsid w:val="003834B9"/>
    <w:rsid w:val="0039335A"/>
    <w:rsid w:val="003E3E28"/>
    <w:rsid w:val="00401650"/>
    <w:rsid w:val="004318DE"/>
    <w:rsid w:val="00440DEA"/>
    <w:rsid w:val="00492A62"/>
    <w:rsid w:val="004B790C"/>
    <w:rsid w:val="004E4695"/>
    <w:rsid w:val="004F5587"/>
    <w:rsid w:val="00505F07"/>
    <w:rsid w:val="00522E34"/>
    <w:rsid w:val="00530ABF"/>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A7701"/>
    <w:rsid w:val="008E5B26"/>
    <w:rsid w:val="00914ECD"/>
    <w:rsid w:val="00924D4F"/>
    <w:rsid w:val="00957BCC"/>
    <w:rsid w:val="00985A74"/>
    <w:rsid w:val="009B7C41"/>
    <w:rsid w:val="009C3D5D"/>
    <w:rsid w:val="009D176B"/>
    <w:rsid w:val="009F51C1"/>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95ADD"/>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55BBD"/>
    <w:rsid w:val="00E85DDD"/>
    <w:rsid w:val="00EB0361"/>
    <w:rsid w:val="00EB5667"/>
    <w:rsid w:val="00EC7A71"/>
    <w:rsid w:val="00F34F45"/>
    <w:rsid w:val="00F53C48"/>
    <w:rsid w:val="00F934B2"/>
    <w:rsid w:val="00FD4A63"/>
    <w:rsid w:val="013303CB"/>
    <w:rsid w:val="018F2EE2"/>
    <w:rsid w:val="026274E8"/>
    <w:rsid w:val="026F1557"/>
    <w:rsid w:val="02810D87"/>
    <w:rsid w:val="02BA54DB"/>
    <w:rsid w:val="02EA4873"/>
    <w:rsid w:val="031A72A8"/>
    <w:rsid w:val="039C0A0A"/>
    <w:rsid w:val="03BB6210"/>
    <w:rsid w:val="03CE5F43"/>
    <w:rsid w:val="04500237"/>
    <w:rsid w:val="049A5E25"/>
    <w:rsid w:val="05373674"/>
    <w:rsid w:val="05597A8E"/>
    <w:rsid w:val="0659586C"/>
    <w:rsid w:val="06641F4F"/>
    <w:rsid w:val="0781507A"/>
    <w:rsid w:val="07BD3408"/>
    <w:rsid w:val="07F55C66"/>
    <w:rsid w:val="087921F6"/>
    <w:rsid w:val="08E6728C"/>
    <w:rsid w:val="09104908"/>
    <w:rsid w:val="09500754"/>
    <w:rsid w:val="09526CCE"/>
    <w:rsid w:val="09657974"/>
    <w:rsid w:val="0A2543E3"/>
    <w:rsid w:val="0A751832"/>
    <w:rsid w:val="0ABF0394"/>
    <w:rsid w:val="0AE129A7"/>
    <w:rsid w:val="0B5331D2"/>
    <w:rsid w:val="0B8B296C"/>
    <w:rsid w:val="0BAB7BC8"/>
    <w:rsid w:val="0BD52F0E"/>
    <w:rsid w:val="0D156991"/>
    <w:rsid w:val="0D2E0060"/>
    <w:rsid w:val="0DBF68FD"/>
    <w:rsid w:val="0DC878B8"/>
    <w:rsid w:val="0E0B47ED"/>
    <w:rsid w:val="0E83792A"/>
    <w:rsid w:val="0E945864"/>
    <w:rsid w:val="0EC3241C"/>
    <w:rsid w:val="0F462A38"/>
    <w:rsid w:val="0FAB0EE6"/>
    <w:rsid w:val="1032785A"/>
    <w:rsid w:val="10F7015B"/>
    <w:rsid w:val="12152FD8"/>
    <w:rsid w:val="123553DF"/>
    <w:rsid w:val="12ED5CBA"/>
    <w:rsid w:val="1379754E"/>
    <w:rsid w:val="13ED5F7E"/>
    <w:rsid w:val="14F766D0"/>
    <w:rsid w:val="14F90946"/>
    <w:rsid w:val="15415E49"/>
    <w:rsid w:val="15A31BC4"/>
    <w:rsid w:val="15F86E50"/>
    <w:rsid w:val="161E1652"/>
    <w:rsid w:val="16421E79"/>
    <w:rsid w:val="16CF5E02"/>
    <w:rsid w:val="176127D3"/>
    <w:rsid w:val="17A0779F"/>
    <w:rsid w:val="18075128"/>
    <w:rsid w:val="184C3483"/>
    <w:rsid w:val="1A3D2A44"/>
    <w:rsid w:val="1A417B90"/>
    <w:rsid w:val="1B5508A0"/>
    <w:rsid w:val="1B9273FE"/>
    <w:rsid w:val="1BAB04C0"/>
    <w:rsid w:val="1BC161D3"/>
    <w:rsid w:val="1BF84678"/>
    <w:rsid w:val="1D75282A"/>
    <w:rsid w:val="1DCA10D2"/>
    <w:rsid w:val="1DEC587F"/>
    <w:rsid w:val="1E7352AD"/>
    <w:rsid w:val="1EAA20B1"/>
    <w:rsid w:val="1EF8161D"/>
    <w:rsid w:val="1F3F5AEF"/>
    <w:rsid w:val="1F550E6F"/>
    <w:rsid w:val="1F811C64"/>
    <w:rsid w:val="1FDF7646"/>
    <w:rsid w:val="20062169"/>
    <w:rsid w:val="20EA3839"/>
    <w:rsid w:val="20F546B7"/>
    <w:rsid w:val="21132D8F"/>
    <w:rsid w:val="21D50045"/>
    <w:rsid w:val="21E549B1"/>
    <w:rsid w:val="22022E9B"/>
    <w:rsid w:val="22B10AB2"/>
    <w:rsid w:val="22E30F16"/>
    <w:rsid w:val="23525A07"/>
    <w:rsid w:val="239857CE"/>
    <w:rsid w:val="23BC14BC"/>
    <w:rsid w:val="23C46957"/>
    <w:rsid w:val="244E0945"/>
    <w:rsid w:val="24A73F1B"/>
    <w:rsid w:val="251F61A7"/>
    <w:rsid w:val="255D7BA8"/>
    <w:rsid w:val="25B6018D"/>
    <w:rsid w:val="25F9028E"/>
    <w:rsid w:val="2624159B"/>
    <w:rsid w:val="27767BD4"/>
    <w:rsid w:val="27D61735"/>
    <w:rsid w:val="28A6098D"/>
    <w:rsid w:val="28FD65EE"/>
    <w:rsid w:val="2920604A"/>
    <w:rsid w:val="2936274F"/>
    <w:rsid w:val="29B669AE"/>
    <w:rsid w:val="29F424DA"/>
    <w:rsid w:val="2A6308E4"/>
    <w:rsid w:val="2C5A7AC4"/>
    <w:rsid w:val="2CB01DDA"/>
    <w:rsid w:val="2CE9283B"/>
    <w:rsid w:val="2D2F4913"/>
    <w:rsid w:val="2D83275B"/>
    <w:rsid w:val="2E47276C"/>
    <w:rsid w:val="2EB931C8"/>
    <w:rsid w:val="2F4800A8"/>
    <w:rsid w:val="2F531E27"/>
    <w:rsid w:val="2F915CE5"/>
    <w:rsid w:val="2FA51FF8"/>
    <w:rsid w:val="2FBD0A96"/>
    <w:rsid w:val="2FE06533"/>
    <w:rsid w:val="302C0287"/>
    <w:rsid w:val="3075353C"/>
    <w:rsid w:val="30843362"/>
    <w:rsid w:val="315471D8"/>
    <w:rsid w:val="32CE237E"/>
    <w:rsid w:val="335039CF"/>
    <w:rsid w:val="33774A8E"/>
    <w:rsid w:val="33D1136B"/>
    <w:rsid w:val="33FC5905"/>
    <w:rsid w:val="34B32468"/>
    <w:rsid w:val="34BA3DC1"/>
    <w:rsid w:val="34BC2E77"/>
    <w:rsid w:val="35770837"/>
    <w:rsid w:val="357C4F4F"/>
    <w:rsid w:val="35D703D8"/>
    <w:rsid w:val="35E514C7"/>
    <w:rsid w:val="36201D7F"/>
    <w:rsid w:val="362A2931"/>
    <w:rsid w:val="365E28A7"/>
    <w:rsid w:val="368816D2"/>
    <w:rsid w:val="36E26191"/>
    <w:rsid w:val="370B658B"/>
    <w:rsid w:val="374C0952"/>
    <w:rsid w:val="37BF5665"/>
    <w:rsid w:val="3838115B"/>
    <w:rsid w:val="38726196"/>
    <w:rsid w:val="387C7014"/>
    <w:rsid w:val="3891486E"/>
    <w:rsid w:val="38A87E0A"/>
    <w:rsid w:val="39602492"/>
    <w:rsid w:val="39775E88"/>
    <w:rsid w:val="397F6DBC"/>
    <w:rsid w:val="3A57182E"/>
    <w:rsid w:val="3A993EAE"/>
    <w:rsid w:val="3ACE22AB"/>
    <w:rsid w:val="3AE66A84"/>
    <w:rsid w:val="3B003F2D"/>
    <w:rsid w:val="3B245E6D"/>
    <w:rsid w:val="3B7A0CB0"/>
    <w:rsid w:val="3C2A189E"/>
    <w:rsid w:val="3C44609B"/>
    <w:rsid w:val="3C495460"/>
    <w:rsid w:val="3C53327F"/>
    <w:rsid w:val="3CD76F0F"/>
    <w:rsid w:val="3D8B0579"/>
    <w:rsid w:val="3E456B72"/>
    <w:rsid w:val="3F9335C1"/>
    <w:rsid w:val="3FF4574B"/>
    <w:rsid w:val="4048214A"/>
    <w:rsid w:val="40D5722F"/>
    <w:rsid w:val="414334DE"/>
    <w:rsid w:val="423821FE"/>
    <w:rsid w:val="423C1CEE"/>
    <w:rsid w:val="423D5A66"/>
    <w:rsid w:val="425132C0"/>
    <w:rsid w:val="429531AD"/>
    <w:rsid w:val="42B0448A"/>
    <w:rsid w:val="42D31F27"/>
    <w:rsid w:val="43C81360"/>
    <w:rsid w:val="44290050"/>
    <w:rsid w:val="442C18EF"/>
    <w:rsid w:val="446A056C"/>
    <w:rsid w:val="44FE43E9"/>
    <w:rsid w:val="453C51A9"/>
    <w:rsid w:val="46333408"/>
    <w:rsid w:val="46720332"/>
    <w:rsid w:val="468C0D6B"/>
    <w:rsid w:val="477E30E1"/>
    <w:rsid w:val="47F6649C"/>
    <w:rsid w:val="488C5052"/>
    <w:rsid w:val="48D013E2"/>
    <w:rsid w:val="490D0C92"/>
    <w:rsid w:val="49A60395"/>
    <w:rsid w:val="49F0036A"/>
    <w:rsid w:val="4A170E76"/>
    <w:rsid w:val="4A39529F"/>
    <w:rsid w:val="4A4E6A63"/>
    <w:rsid w:val="4ADC2FC7"/>
    <w:rsid w:val="4B1120BD"/>
    <w:rsid w:val="4C30416B"/>
    <w:rsid w:val="4C453E95"/>
    <w:rsid w:val="4CF3569F"/>
    <w:rsid w:val="4D265A75"/>
    <w:rsid w:val="4DD46FDF"/>
    <w:rsid w:val="4DF74D1B"/>
    <w:rsid w:val="4EB701BF"/>
    <w:rsid w:val="4F6C1739"/>
    <w:rsid w:val="4FDC241B"/>
    <w:rsid w:val="503E6C32"/>
    <w:rsid w:val="50BB7907"/>
    <w:rsid w:val="5261632C"/>
    <w:rsid w:val="52630BD1"/>
    <w:rsid w:val="528374C6"/>
    <w:rsid w:val="530A434B"/>
    <w:rsid w:val="536C2ABD"/>
    <w:rsid w:val="53E57E13"/>
    <w:rsid w:val="54A61249"/>
    <w:rsid w:val="55067F3A"/>
    <w:rsid w:val="5519759C"/>
    <w:rsid w:val="551B5E9C"/>
    <w:rsid w:val="55204F89"/>
    <w:rsid w:val="55D32512"/>
    <w:rsid w:val="55FF2978"/>
    <w:rsid w:val="564231F4"/>
    <w:rsid w:val="57160F93"/>
    <w:rsid w:val="57F329F7"/>
    <w:rsid w:val="58022C3B"/>
    <w:rsid w:val="580C3AB9"/>
    <w:rsid w:val="58501BF8"/>
    <w:rsid w:val="595219A0"/>
    <w:rsid w:val="5994098E"/>
    <w:rsid w:val="59A33FA9"/>
    <w:rsid w:val="5A2D3540"/>
    <w:rsid w:val="5AC11CB2"/>
    <w:rsid w:val="5B8F47E5"/>
    <w:rsid w:val="5BD13050"/>
    <w:rsid w:val="5BD415B9"/>
    <w:rsid w:val="5C013209"/>
    <w:rsid w:val="5DD45079"/>
    <w:rsid w:val="5E124648"/>
    <w:rsid w:val="5E9345EC"/>
    <w:rsid w:val="5FFC5373"/>
    <w:rsid w:val="610772EA"/>
    <w:rsid w:val="610C4B2A"/>
    <w:rsid w:val="613B6943"/>
    <w:rsid w:val="616C1F97"/>
    <w:rsid w:val="618648DC"/>
    <w:rsid w:val="61B52ACC"/>
    <w:rsid w:val="61BA6334"/>
    <w:rsid w:val="62BB2364"/>
    <w:rsid w:val="62CA0DEA"/>
    <w:rsid w:val="6317781A"/>
    <w:rsid w:val="637C5F97"/>
    <w:rsid w:val="639037F0"/>
    <w:rsid w:val="63BF40D6"/>
    <w:rsid w:val="64542A70"/>
    <w:rsid w:val="646A2293"/>
    <w:rsid w:val="648B6D5C"/>
    <w:rsid w:val="64DD4218"/>
    <w:rsid w:val="6554084E"/>
    <w:rsid w:val="6572372B"/>
    <w:rsid w:val="65EC4433"/>
    <w:rsid w:val="66083B12"/>
    <w:rsid w:val="6639016F"/>
    <w:rsid w:val="66434B4A"/>
    <w:rsid w:val="668D2269"/>
    <w:rsid w:val="66986352"/>
    <w:rsid w:val="66F9345B"/>
    <w:rsid w:val="671E7365"/>
    <w:rsid w:val="67987117"/>
    <w:rsid w:val="679C66B0"/>
    <w:rsid w:val="68060AC4"/>
    <w:rsid w:val="68554B6D"/>
    <w:rsid w:val="68EA39A3"/>
    <w:rsid w:val="69020CEC"/>
    <w:rsid w:val="69B62C3F"/>
    <w:rsid w:val="6A745C1A"/>
    <w:rsid w:val="6AD5702B"/>
    <w:rsid w:val="6B87372B"/>
    <w:rsid w:val="6C765DD8"/>
    <w:rsid w:val="6CB56076"/>
    <w:rsid w:val="6CB843E9"/>
    <w:rsid w:val="6CE556DE"/>
    <w:rsid w:val="6D231231"/>
    <w:rsid w:val="6D4713C4"/>
    <w:rsid w:val="6D837F22"/>
    <w:rsid w:val="6DF17581"/>
    <w:rsid w:val="6EE25A7E"/>
    <w:rsid w:val="6F671833"/>
    <w:rsid w:val="6FDF3411"/>
    <w:rsid w:val="708E13B0"/>
    <w:rsid w:val="70BD4D8A"/>
    <w:rsid w:val="71065554"/>
    <w:rsid w:val="7169267E"/>
    <w:rsid w:val="73BE1CB4"/>
    <w:rsid w:val="73CC2623"/>
    <w:rsid w:val="73D80876"/>
    <w:rsid w:val="73E27DCB"/>
    <w:rsid w:val="745F0A3D"/>
    <w:rsid w:val="75994A53"/>
    <w:rsid w:val="760F2C9B"/>
    <w:rsid w:val="765E4A8E"/>
    <w:rsid w:val="77A86F03"/>
    <w:rsid w:val="780E2ADE"/>
    <w:rsid w:val="78175E36"/>
    <w:rsid w:val="78327B50"/>
    <w:rsid w:val="79102FB2"/>
    <w:rsid w:val="79F521A7"/>
    <w:rsid w:val="7A17211E"/>
    <w:rsid w:val="7B001352"/>
    <w:rsid w:val="7B7F61CD"/>
    <w:rsid w:val="7CEC65E1"/>
    <w:rsid w:val="7D080444"/>
    <w:rsid w:val="7D2E53CE"/>
    <w:rsid w:val="7D382AD7"/>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6"/>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7"/>
    <w:autoRedefine/>
    <w:qFormat/>
    <w:uiPriority w:val="0"/>
    <w:pPr>
      <w:keepNext/>
      <w:keepLines/>
      <w:spacing w:before="120" w:after="120"/>
      <w:outlineLvl w:val="2"/>
    </w:pPr>
    <w:rPr>
      <w:rFonts w:eastAsia="仿宋"/>
      <w:b/>
      <w:sz w:val="30"/>
    </w:rPr>
  </w:style>
  <w:style w:type="character" w:default="1" w:styleId="26">
    <w:name w:val="Default Paragraph Font"/>
    <w:semiHidden/>
    <w:unhideWhenUsed/>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next w:val="1"/>
    <w:autoRedefine/>
    <w:qFormat/>
    <w:uiPriority w:val="0"/>
    <w:pPr>
      <w:ind w:firstLine="420" w:firstLineChars="200"/>
    </w:pPr>
  </w:style>
  <w:style w:type="paragraph" w:styleId="7">
    <w:name w:val="annotation text"/>
    <w:basedOn w:val="1"/>
    <w:link w:val="39"/>
    <w:autoRedefine/>
    <w:qFormat/>
    <w:uiPriority w:val="0"/>
    <w:pPr>
      <w:jc w:val="left"/>
    </w:pPr>
  </w:style>
  <w:style w:type="paragraph" w:styleId="8">
    <w:name w:val="Body Text 3"/>
    <w:basedOn w:val="1"/>
    <w:autoRedefine/>
    <w:qFormat/>
    <w:uiPriority w:val="0"/>
    <w:pPr>
      <w:spacing w:after="120"/>
    </w:pPr>
    <w:rPr>
      <w:sz w:val="16"/>
    </w:rPr>
  </w:style>
  <w:style w:type="paragraph" w:styleId="9">
    <w:name w:val="Body Text"/>
    <w:basedOn w:val="1"/>
    <w:next w:val="1"/>
    <w:link w:val="38"/>
    <w:autoRedefine/>
    <w:qFormat/>
    <w:uiPriority w:val="0"/>
    <w:pPr>
      <w:spacing w:after="120"/>
    </w:pPr>
  </w:style>
  <w:style w:type="paragraph" w:styleId="10">
    <w:name w:val="Body Text Indent"/>
    <w:basedOn w:val="1"/>
    <w:autoRedefine/>
    <w:qFormat/>
    <w:uiPriority w:val="99"/>
    <w:pPr>
      <w:tabs>
        <w:tab w:val="left" w:pos="1500"/>
      </w:tabs>
      <w:ind w:left="-180"/>
    </w:pPr>
    <w:rPr>
      <w:rFonts w:ascii="宋体" w:hAnsi="宋体"/>
      <w:sz w:val="24"/>
    </w:rPr>
  </w:style>
  <w:style w:type="paragraph" w:styleId="11">
    <w:name w:val="Plain Text"/>
    <w:basedOn w:val="1"/>
    <w:autoRedefine/>
    <w:qFormat/>
    <w:uiPriority w:val="0"/>
    <w:rPr>
      <w:rFonts w:hAnsi="Courier New"/>
    </w:rPr>
  </w:style>
  <w:style w:type="paragraph" w:styleId="12">
    <w:name w:val="Date"/>
    <w:basedOn w:val="1"/>
    <w:next w:val="1"/>
    <w:link w:val="53"/>
    <w:autoRedefine/>
    <w:semiHidden/>
    <w:unhideWhenUsed/>
    <w:qFormat/>
    <w:uiPriority w:val="99"/>
    <w:pPr>
      <w:ind w:left="100" w:leftChars="2500"/>
    </w:pPr>
  </w:style>
  <w:style w:type="paragraph" w:styleId="13">
    <w:name w:val="Body Text Indent 2"/>
    <w:basedOn w:val="1"/>
    <w:link w:val="40"/>
    <w:autoRedefine/>
    <w:qFormat/>
    <w:uiPriority w:val="0"/>
    <w:pPr>
      <w:ind w:firstLine="630"/>
    </w:pPr>
    <w:rPr>
      <w:sz w:val="32"/>
    </w:rPr>
  </w:style>
  <w:style w:type="paragraph" w:styleId="14">
    <w:name w:val="Balloon Text"/>
    <w:basedOn w:val="1"/>
    <w:link w:val="56"/>
    <w:autoRedefine/>
    <w:semiHidden/>
    <w:unhideWhenUsed/>
    <w:qFormat/>
    <w:uiPriority w:val="99"/>
    <w:rPr>
      <w:sz w:val="18"/>
      <w:szCs w:val="18"/>
    </w:rPr>
  </w:style>
  <w:style w:type="paragraph" w:styleId="15">
    <w:name w:val="footer"/>
    <w:basedOn w:val="1"/>
    <w:link w:val="34"/>
    <w:autoRedefine/>
    <w:unhideWhenUsed/>
    <w:qFormat/>
    <w:uiPriority w:val="0"/>
    <w:pPr>
      <w:tabs>
        <w:tab w:val="center" w:pos="4153"/>
        <w:tab w:val="right" w:pos="8306"/>
      </w:tabs>
      <w:snapToGrid w:val="0"/>
      <w:jc w:val="left"/>
    </w:pPr>
    <w:rPr>
      <w:sz w:val="18"/>
      <w:szCs w:val="18"/>
    </w:rPr>
  </w:style>
  <w:style w:type="paragraph" w:styleId="16">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1"/>
    <w:autoRedefine/>
    <w:qFormat/>
    <w:uiPriority w:val="0"/>
    <w:rPr>
      <w:sz w:val="28"/>
    </w:rPr>
  </w:style>
  <w:style w:type="paragraph" w:styleId="19">
    <w:name w:val="Body Text Indent 3"/>
    <w:basedOn w:val="1"/>
    <w:autoRedefine/>
    <w:qFormat/>
    <w:uiPriority w:val="0"/>
    <w:pPr>
      <w:spacing w:after="156" w:afterLines="50" w:line="560" w:lineRule="exact"/>
      <w:ind w:firstLine="420"/>
    </w:pPr>
    <w:rPr>
      <w:sz w:val="32"/>
    </w:rPr>
  </w:style>
  <w:style w:type="paragraph" w:styleId="20">
    <w:name w:val="Body Text 2"/>
    <w:basedOn w:val="1"/>
    <w:autoRedefine/>
    <w:qFormat/>
    <w:uiPriority w:val="0"/>
    <w:pPr>
      <w:spacing w:line="480" w:lineRule="auto"/>
    </w:pPr>
    <w:rPr>
      <w:rFonts w:ascii="Times New Roman"/>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7"/>
    <w:next w:val="7"/>
    <w:link w:val="54"/>
    <w:autoRedefine/>
    <w:semiHidden/>
    <w:unhideWhenUsed/>
    <w:qFormat/>
    <w:uiPriority w:val="99"/>
    <w:rPr>
      <w:b/>
      <w:bCs/>
    </w:rPr>
  </w:style>
  <w:style w:type="paragraph" w:styleId="23">
    <w:name w:val="Body Text First Indent"/>
    <w:basedOn w:val="9"/>
    <w:link w:val="42"/>
    <w:autoRedefine/>
    <w:qFormat/>
    <w:uiPriority w:val="0"/>
    <w:pPr>
      <w:spacing w:line="360" w:lineRule="auto"/>
      <w:ind w:firstLine="420"/>
    </w:pPr>
    <w:rPr>
      <w:rFonts w:ascii="宋体" w:hAnsi="宋体"/>
      <w:sz w:val="24"/>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annotation reference"/>
    <w:basedOn w:val="26"/>
    <w:autoRedefine/>
    <w:semiHidden/>
    <w:unhideWhenUsed/>
    <w:qFormat/>
    <w:uiPriority w:val="99"/>
    <w:rPr>
      <w:sz w:val="21"/>
      <w:szCs w:val="21"/>
    </w:rPr>
  </w:style>
  <w:style w:type="paragraph" w:styleId="29">
    <w:name w:val="No Spacing"/>
    <w:basedOn w:val="1"/>
    <w:next w:val="1"/>
    <w:autoRedefine/>
    <w:unhideWhenUsed/>
    <w:qFormat/>
    <w:uiPriority w:val="0"/>
    <w:rPr>
      <w:rFonts w:ascii="Calibri" w:hAnsi="Calibri"/>
    </w:rPr>
  </w:style>
  <w:style w:type="paragraph" w:customStyle="1" w:styleId="30">
    <w:name w:val="标题 5（有编号）（绿盟科技）"/>
    <w:basedOn w:val="31"/>
    <w:next w:val="32"/>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3">
    <w:name w:val="页眉 字符"/>
    <w:basedOn w:val="26"/>
    <w:link w:val="16"/>
    <w:autoRedefine/>
    <w:qFormat/>
    <w:uiPriority w:val="99"/>
    <w:rPr>
      <w:sz w:val="18"/>
      <w:szCs w:val="18"/>
    </w:rPr>
  </w:style>
  <w:style w:type="character" w:customStyle="1" w:styleId="34">
    <w:name w:val="页脚 字符"/>
    <w:basedOn w:val="26"/>
    <w:link w:val="15"/>
    <w:autoRedefine/>
    <w:qFormat/>
    <w:uiPriority w:val="99"/>
    <w:rPr>
      <w:sz w:val="18"/>
      <w:szCs w:val="18"/>
    </w:rPr>
  </w:style>
  <w:style w:type="character" w:customStyle="1" w:styleId="35">
    <w:name w:val="标题 1 字符"/>
    <w:basedOn w:val="26"/>
    <w:link w:val="2"/>
    <w:autoRedefine/>
    <w:qFormat/>
    <w:uiPriority w:val="99"/>
    <w:rPr>
      <w:b/>
      <w:bCs/>
      <w:kern w:val="44"/>
      <w:sz w:val="44"/>
      <w:szCs w:val="44"/>
    </w:rPr>
  </w:style>
  <w:style w:type="character" w:customStyle="1" w:styleId="36">
    <w:name w:val="标题 2 字符"/>
    <w:basedOn w:val="26"/>
    <w:link w:val="3"/>
    <w:autoRedefine/>
    <w:qFormat/>
    <w:uiPriority w:val="0"/>
    <w:rPr>
      <w:rFonts w:ascii="Arial" w:hAnsi="Arial" w:eastAsia="仿宋"/>
      <w:b/>
      <w:bCs/>
      <w:sz w:val="28"/>
      <w:szCs w:val="32"/>
    </w:rPr>
  </w:style>
  <w:style w:type="character" w:customStyle="1" w:styleId="37">
    <w:name w:val="标题 3 字符"/>
    <w:basedOn w:val="26"/>
    <w:link w:val="4"/>
    <w:autoRedefine/>
    <w:qFormat/>
    <w:uiPriority w:val="0"/>
    <w:rPr>
      <w:rFonts w:eastAsia="仿宋"/>
      <w:b/>
      <w:sz w:val="30"/>
    </w:rPr>
  </w:style>
  <w:style w:type="character" w:customStyle="1" w:styleId="38">
    <w:name w:val="正文文本 字符"/>
    <w:basedOn w:val="26"/>
    <w:link w:val="9"/>
    <w:autoRedefine/>
    <w:qFormat/>
    <w:uiPriority w:val="0"/>
  </w:style>
  <w:style w:type="character" w:customStyle="1" w:styleId="39">
    <w:name w:val="批注文字 字符"/>
    <w:basedOn w:val="26"/>
    <w:link w:val="7"/>
    <w:autoRedefine/>
    <w:qFormat/>
    <w:uiPriority w:val="0"/>
  </w:style>
  <w:style w:type="character" w:customStyle="1" w:styleId="40">
    <w:name w:val="正文文本缩进 2 字符"/>
    <w:basedOn w:val="26"/>
    <w:link w:val="13"/>
    <w:autoRedefine/>
    <w:qFormat/>
    <w:uiPriority w:val="0"/>
    <w:rPr>
      <w:sz w:val="32"/>
    </w:rPr>
  </w:style>
  <w:style w:type="character" w:customStyle="1" w:styleId="41">
    <w:name w:val="副标题 字符"/>
    <w:basedOn w:val="26"/>
    <w:link w:val="18"/>
    <w:autoRedefine/>
    <w:qFormat/>
    <w:uiPriority w:val="0"/>
    <w:rPr>
      <w:sz w:val="28"/>
    </w:rPr>
  </w:style>
  <w:style w:type="character" w:customStyle="1" w:styleId="42">
    <w:name w:val="正文首行缩进 字符"/>
    <w:basedOn w:val="38"/>
    <w:link w:val="23"/>
    <w:autoRedefine/>
    <w:qFormat/>
    <w:uiPriority w:val="0"/>
    <w:rPr>
      <w:rFonts w:ascii="宋体" w:hAnsi="宋体"/>
      <w:sz w:val="24"/>
    </w:rPr>
  </w:style>
  <w:style w:type="paragraph" w:customStyle="1" w:styleId="43">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表格"/>
    <w:basedOn w:val="1"/>
    <w:autoRedefine/>
    <w:qFormat/>
    <w:uiPriority w:val="0"/>
    <w:pPr>
      <w:spacing w:line="400" w:lineRule="exact"/>
    </w:pPr>
    <w:rPr>
      <w:sz w:val="24"/>
      <w:szCs w:val="24"/>
    </w:rPr>
  </w:style>
  <w:style w:type="paragraph" w:customStyle="1" w:styleId="46">
    <w:name w:val="样式 首行缩进:  2 字符"/>
    <w:basedOn w:val="1"/>
    <w:autoRedefine/>
    <w:qFormat/>
    <w:uiPriority w:val="0"/>
    <w:pPr>
      <w:spacing w:line="400" w:lineRule="exact"/>
      <w:ind w:firstLine="200" w:firstLineChars="200"/>
    </w:pPr>
    <w:rPr>
      <w:rFonts w:cs="宋体"/>
      <w:sz w:val="24"/>
    </w:rPr>
  </w:style>
  <w:style w:type="paragraph" w:customStyle="1" w:styleId="47">
    <w:name w:val="列出段落1"/>
    <w:basedOn w:val="1"/>
    <w:autoRedefine/>
    <w:qFormat/>
    <w:uiPriority w:val="0"/>
    <w:pPr>
      <w:ind w:firstLine="420" w:firstLineChars="200"/>
    </w:pPr>
    <w:rPr>
      <w:szCs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50">
    <w:name w:val="font31"/>
    <w:autoRedefine/>
    <w:qFormat/>
    <w:uiPriority w:val="0"/>
    <w:rPr>
      <w:rFonts w:hint="eastAsia" w:ascii="宋体" w:hAnsi="宋体" w:eastAsia="宋体" w:cs="宋体"/>
      <w:b/>
      <w:color w:val="000000"/>
      <w:sz w:val="22"/>
      <w:szCs w:val="22"/>
      <w:u w:val="none"/>
    </w:rPr>
  </w:style>
  <w:style w:type="character" w:customStyle="1" w:styleId="51">
    <w:name w:val="font21"/>
    <w:autoRedefine/>
    <w:qFormat/>
    <w:uiPriority w:val="0"/>
    <w:rPr>
      <w:rFonts w:hint="eastAsia" w:ascii="宋体" w:hAnsi="宋体" w:eastAsia="宋体" w:cs="宋体"/>
      <w:color w:val="000000"/>
      <w:sz w:val="20"/>
      <w:szCs w:val="20"/>
      <w:u w:val="none"/>
    </w:rPr>
  </w:style>
  <w:style w:type="character" w:customStyle="1" w:styleId="52">
    <w:name w:val="font81"/>
    <w:basedOn w:val="26"/>
    <w:autoRedefine/>
    <w:qFormat/>
    <w:uiPriority w:val="0"/>
    <w:rPr>
      <w:rFonts w:hint="eastAsia" w:ascii="宋体" w:hAnsi="宋体" w:eastAsia="宋体" w:cs="宋体"/>
      <w:b/>
      <w:color w:val="000000"/>
      <w:sz w:val="22"/>
      <w:szCs w:val="22"/>
      <w:u w:val="none"/>
    </w:rPr>
  </w:style>
  <w:style w:type="character" w:customStyle="1" w:styleId="53">
    <w:name w:val="日期 字符"/>
    <w:basedOn w:val="26"/>
    <w:link w:val="12"/>
    <w:autoRedefine/>
    <w:semiHidden/>
    <w:qFormat/>
    <w:uiPriority w:val="99"/>
    <w:rPr>
      <w:kern w:val="2"/>
      <w:sz w:val="21"/>
      <w:szCs w:val="22"/>
    </w:rPr>
  </w:style>
  <w:style w:type="character" w:customStyle="1" w:styleId="54">
    <w:name w:val="批注主题 字符"/>
    <w:basedOn w:val="39"/>
    <w:link w:val="22"/>
    <w:autoRedefine/>
    <w:semiHidden/>
    <w:qFormat/>
    <w:uiPriority w:val="99"/>
    <w:rPr>
      <w:b/>
      <w:bCs/>
      <w:kern w:val="2"/>
      <w:sz w:val="21"/>
      <w:szCs w:val="22"/>
    </w:rPr>
  </w:style>
  <w:style w:type="paragraph" w:customStyle="1" w:styleId="55">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6">
    <w:name w:val="批注框文本 字符"/>
    <w:basedOn w:val="26"/>
    <w:link w:val="14"/>
    <w:autoRedefine/>
    <w:semiHidden/>
    <w:qFormat/>
    <w:uiPriority w:val="99"/>
    <w:rPr>
      <w:kern w:val="2"/>
      <w:sz w:val="18"/>
      <w:szCs w:val="18"/>
    </w:rPr>
  </w:style>
  <w:style w:type="character" w:customStyle="1" w:styleId="57">
    <w:name w:val="font11"/>
    <w:basedOn w:val="26"/>
    <w:autoRedefine/>
    <w:qFormat/>
    <w:uiPriority w:val="0"/>
    <w:rPr>
      <w:rFonts w:hint="eastAsia" w:ascii="宋体" w:hAnsi="宋体" w:eastAsia="宋体" w:cs="宋体"/>
      <w:color w:val="000000"/>
      <w:sz w:val="21"/>
      <w:szCs w:val="21"/>
      <w:u w:val="none"/>
    </w:rPr>
  </w:style>
  <w:style w:type="paragraph" w:styleId="58">
    <w:name w:val="List Paragraph"/>
    <w:basedOn w:val="1"/>
    <w:autoRedefine/>
    <w:qFormat/>
    <w:uiPriority w:val="99"/>
    <w:pPr>
      <w:ind w:firstLine="420" w:firstLineChars="200"/>
    </w:pPr>
  </w:style>
  <w:style w:type="table" w:customStyle="1" w:styleId="59">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0">
    <w:name w:val="正文首行缩进两字符"/>
    <w:basedOn w:val="1"/>
    <w:autoRedefine/>
    <w:qFormat/>
    <w:uiPriority w:val="0"/>
    <w:pPr>
      <w:spacing w:line="360" w:lineRule="auto"/>
      <w:ind w:firstLine="200" w:firstLineChars="200"/>
    </w:pPr>
  </w:style>
  <w:style w:type="character" w:customStyle="1" w:styleId="61">
    <w:name w:val="font01"/>
    <w:basedOn w:val="26"/>
    <w:autoRedefine/>
    <w:qFormat/>
    <w:uiPriority w:val="0"/>
    <w:rPr>
      <w:rFonts w:hint="eastAsia" w:ascii="宋体" w:hAnsi="宋体" w:eastAsia="宋体" w:cs="宋体"/>
      <w:color w:val="000000"/>
      <w:sz w:val="24"/>
      <w:szCs w:val="24"/>
      <w:u w:val="none"/>
    </w:rPr>
  </w:style>
  <w:style w:type="paragraph" w:customStyle="1" w:styleId="62">
    <w:name w:val="Table Text"/>
    <w:basedOn w:val="1"/>
    <w:autoRedefine/>
    <w:semiHidden/>
    <w:qFormat/>
    <w:uiPriority w:val="0"/>
    <w:rPr>
      <w:rFonts w:ascii="Arial" w:hAnsi="Arial" w:eastAsia="Arial" w:cs="Arial"/>
      <w:szCs w:val="21"/>
      <w:lang w:eastAsia="en-US"/>
    </w:rPr>
  </w:style>
  <w:style w:type="paragraph" w:customStyle="1" w:styleId="63">
    <w:name w:val="小四正文"/>
    <w:basedOn w:val="1"/>
    <w:next w:val="1"/>
    <w:autoRedefine/>
    <w:qFormat/>
    <w:locked/>
    <w:uiPriority w:val="99"/>
    <w:pPr>
      <w:spacing w:line="360" w:lineRule="auto"/>
      <w:ind w:firstLine="200" w:firstLineChars="200"/>
    </w:pPr>
    <w:rPr>
      <w:rFonts w:eastAsia="宋体"/>
      <w:sz w:val="24"/>
      <w:szCs w:val="28"/>
    </w:rPr>
  </w:style>
  <w:style w:type="paragraph" w:customStyle="1" w:styleId="64">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65">
    <w:name w:val="正文2"/>
    <w:basedOn w:val="10"/>
    <w:autoRedefine/>
    <w:qFormat/>
    <w:uiPriority w:val="0"/>
    <w:pPr>
      <w:spacing w:line="480" w:lineRule="exact"/>
      <w:ind w:left="0" w:firstLine="480" w:firstLineChars="200"/>
    </w:pPr>
    <w:rPr>
      <w:rFonts w:ascii="Times New Roman" w:eastAsia="宋体"/>
      <w:bCs/>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B326B-E783-4174-A06C-663247C8934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2529</Words>
  <Characters>14420</Characters>
  <Lines>120</Lines>
  <Paragraphs>33</Paragraphs>
  <TotalTime>36</TotalTime>
  <ScaleCrop>false</ScaleCrop>
  <LinksUpToDate>false</LinksUpToDate>
  <CharactersWithSpaces>16916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2024-07-25T04:27:32Z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30BF2A90811447149A0BC9FD83390EB0_13</vt:lpwstr>
  </property>
</Properties>
</file>